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4E4129C5"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906363">
        <w:rPr>
          <w:rFonts w:asciiTheme="minorHAnsi" w:hAnsiTheme="minorHAnsi" w:cstheme="minorHAnsi"/>
          <w:sz w:val="24"/>
          <w:szCs w:val="24"/>
        </w:rPr>
        <w:t>13</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4676E1FC" w14:textId="77777777" w:rsidR="00906363" w:rsidRDefault="00906363" w:rsidP="0058030E">
      <w:pPr>
        <w:rPr>
          <w:rFonts w:asciiTheme="minorHAnsi" w:hAnsiTheme="minorHAnsi" w:cstheme="minorHAnsi"/>
          <w:color w:val="000000"/>
          <w:sz w:val="23"/>
          <w:szCs w:val="23"/>
          <w:shd w:val="clear" w:color="auto" w:fill="FFFFFF"/>
        </w:rPr>
      </w:pPr>
      <w:r w:rsidRPr="00906363">
        <w:rPr>
          <w:rFonts w:asciiTheme="minorHAnsi" w:hAnsiTheme="minorHAnsi" w:cstheme="minorHAnsi"/>
          <w:color w:val="000000"/>
          <w:sz w:val="23"/>
          <w:szCs w:val="23"/>
          <w:shd w:val="clear" w:color="auto" w:fill="FFFFFF"/>
        </w:rPr>
        <w:t xml:space="preserve">Пиктограмма тактильная, модульная "Мужской общественный туалет с кабиной доступной для инвалидов на кресле-коляске", с наклонным полем, двухсекционная, М13 </w:t>
      </w:r>
    </w:p>
    <w:p w14:paraId="1100D431" w14:textId="19C5706E"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58EDEB6B" w:rsidR="0058030E" w:rsidRPr="00435B93" w:rsidRDefault="00906363" w:rsidP="00A06F65">
            <w:pPr>
              <w:rPr>
                <w:rFonts w:asciiTheme="minorHAnsi" w:hAnsiTheme="minorHAnsi" w:cstheme="minorHAnsi"/>
                <w:sz w:val="24"/>
                <w:szCs w:val="24"/>
              </w:rPr>
            </w:pPr>
            <w:r w:rsidRPr="00906363">
              <w:rPr>
                <w:rFonts w:asciiTheme="minorHAnsi" w:hAnsiTheme="minorHAnsi" w:cstheme="minorHAnsi"/>
                <w:sz w:val="24"/>
                <w:szCs w:val="24"/>
              </w:rPr>
              <w:t xml:space="preserve">Изделие представляет собой модульный тактильный указатель, который передаёт информацию об общественном мужском туалете с кабиной доступной для инвалидов на кресле-коляске. Указатель адаптирован к восприятию слабовидящими и тотально незрячими людьми. Конструкция изделия обеспечивает возможность самостоятельной замены информации пользователем, в случае необходимости. </w:t>
            </w:r>
            <w:r w:rsidRPr="00F67986">
              <w:rPr>
                <w:rFonts w:asciiTheme="minorHAnsi" w:hAnsiTheme="minorHAnsi" w:cstheme="minorHAnsi"/>
                <w:sz w:val="24"/>
                <w:szCs w:val="24"/>
              </w:rPr>
              <w:t>Конструктивно изделие выполнено</w:t>
            </w:r>
            <w:r w:rsidR="005D3479" w:rsidRPr="00F67986">
              <w:rPr>
                <w:rFonts w:asciiTheme="minorHAnsi" w:hAnsiTheme="minorHAnsi" w:cstheme="minorHAnsi"/>
                <w:sz w:val="24"/>
                <w:szCs w:val="24"/>
              </w:rPr>
              <w:t xml:space="preserve"> с горизонтальным расположением пиктограмм</w:t>
            </w:r>
            <w:r w:rsidR="00BD668A" w:rsidRPr="00F67986">
              <w:rPr>
                <w:rFonts w:asciiTheme="minorHAnsi" w:hAnsiTheme="minorHAnsi" w:cstheme="minorHAnsi"/>
                <w:sz w:val="24"/>
                <w:szCs w:val="24"/>
              </w:rPr>
              <w:t xml:space="preserve">, </w:t>
            </w:r>
            <w:r w:rsidRPr="00F67986">
              <w:rPr>
                <w:rFonts w:asciiTheme="minorHAnsi" w:hAnsiTheme="minorHAnsi" w:cstheme="minorHAnsi"/>
                <w:sz w:val="24"/>
                <w:szCs w:val="24"/>
              </w:rPr>
              <w:t xml:space="preserve">имеет 2 секции для размещения тактильных </w:t>
            </w:r>
            <w:r w:rsidR="00C33FFC" w:rsidRPr="00F67986">
              <w:rPr>
                <w:rFonts w:asciiTheme="minorHAnsi" w:hAnsiTheme="minorHAnsi" w:cstheme="minorHAnsi"/>
                <w:sz w:val="24"/>
                <w:szCs w:val="24"/>
              </w:rPr>
              <w:t>указателей</w:t>
            </w:r>
            <w:r w:rsidRPr="00F67986">
              <w:rPr>
                <w:rFonts w:asciiTheme="minorHAnsi" w:hAnsiTheme="minorHAnsi" w:cstheme="minorHAnsi"/>
                <w:sz w:val="24"/>
                <w:szCs w:val="24"/>
              </w:rPr>
              <w:t>, а</w:t>
            </w:r>
            <w:r w:rsidRPr="00906363">
              <w:rPr>
                <w:rFonts w:asciiTheme="minorHAnsi" w:hAnsiTheme="minorHAnsi" w:cstheme="minorHAnsi"/>
                <w:sz w:val="24"/>
                <w:szCs w:val="24"/>
              </w:rPr>
              <w:t xml:space="preserve"> также наклонную поверхность, расположенную под углом 30</w:t>
            </w:r>
            <w:r w:rsidR="00B5063C">
              <w:rPr>
                <w:rFonts w:asciiTheme="minorHAnsi" w:hAnsiTheme="minorHAnsi" w:cstheme="minorHAnsi"/>
                <w:sz w:val="24"/>
                <w:szCs w:val="24"/>
                <w:vertAlign w:val="superscript"/>
              </w:rPr>
              <w:t>0</w:t>
            </w:r>
            <w:r w:rsidRPr="00906363">
              <w:rPr>
                <w:rFonts w:asciiTheme="minorHAnsi" w:hAnsiTheme="minorHAnsi" w:cstheme="minorHAnsi"/>
                <w:sz w:val="24"/>
                <w:szCs w:val="24"/>
              </w:rPr>
              <w:t>, предназначенную для размещения тактильной таблички.  Для обеспечения соответствия эстетичных качеств, а также высоких эксплуатационных характеристик, корпус изделия изготовлен из алюминиевого профиля с анодированным покрытием, проставка и торцевые заглушки на основе полистирола, пиктограммы доступности на основе поливинилхлорида.                                                                                Изделие полностью соответствует требованиям                                 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166FCDB8"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w:t>
            </w:r>
            <w:r w:rsidRPr="00F67986">
              <w:rPr>
                <w:rFonts w:asciiTheme="minorHAnsi" w:hAnsiTheme="minorHAnsi" w:cstheme="minorHAnsi"/>
                <w:sz w:val="24"/>
                <w:szCs w:val="24"/>
              </w:rPr>
              <w:t>конструкцию</w:t>
            </w:r>
            <w:r w:rsidR="00EE4916" w:rsidRPr="00F67986">
              <w:rPr>
                <w:rFonts w:asciiTheme="minorHAnsi" w:hAnsiTheme="minorHAnsi" w:cstheme="minorHAnsi"/>
                <w:sz w:val="24"/>
                <w:szCs w:val="24"/>
              </w:rPr>
              <w:t xml:space="preserve">, </w:t>
            </w:r>
            <w:r w:rsidR="005D3479" w:rsidRPr="00F67986">
              <w:rPr>
                <w:rFonts w:asciiTheme="minorHAnsi" w:hAnsiTheme="minorHAnsi" w:cstheme="minorHAnsi"/>
                <w:sz w:val="24"/>
                <w:szCs w:val="24"/>
              </w:rPr>
              <w:t>с горизонтальным расположением пиктограмм</w:t>
            </w:r>
            <w:r w:rsidR="00A062BE" w:rsidRPr="00F67986">
              <w:rPr>
                <w:rFonts w:asciiTheme="minorHAnsi" w:hAnsiTheme="minorHAnsi" w:cstheme="minorHAnsi"/>
                <w:sz w:val="24"/>
                <w:szCs w:val="24"/>
              </w:rPr>
              <w:t>,</w:t>
            </w:r>
            <w:r w:rsidRPr="00F67986">
              <w:rPr>
                <w:rFonts w:asciiTheme="minorHAnsi" w:hAnsiTheme="minorHAnsi" w:cstheme="minorHAnsi"/>
                <w:sz w:val="24"/>
                <w:szCs w:val="24"/>
              </w:rPr>
              <w:t xml:space="preserve"> с наклонной поверхностью, расположенной под углом 30</w:t>
            </w:r>
            <w:r w:rsidR="005B6469" w:rsidRPr="00F67986">
              <w:rPr>
                <w:rFonts w:asciiTheme="minorHAnsi" w:hAnsiTheme="minorHAnsi" w:cstheme="minorHAnsi"/>
                <w:sz w:val="24"/>
                <w:szCs w:val="24"/>
                <w:vertAlign w:val="superscript"/>
              </w:rPr>
              <w:t>0</w:t>
            </w:r>
            <w:r w:rsidR="005B6469" w:rsidRPr="00F67986">
              <w:rPr>
                <w:rFonts w:asciiTheme="minorHAnsi" w:hAnsiTheme="minorHAnsi" w:cstheme="minorHAnsi"/>
                <w:sz w:val="24"/>
                <w:szCs w:val="24"/>
              </w:rPr>
              <w:t>.</w:t>
            </w:r>
            <w:r w:rsidRPr="00F67986">
              <w:rPr>
                <w:rFonts w:asciiTheme="minorHAnsi" w:hAnsiTheme="minorHAnsi" w:cstheme="minorHAnsi"/>
                <w:sz w:val="24"/>
                <w:szCs w:val="24"/>
              </w:rPr>
              <w:t xml:space="preserve"> </w:t>
            </w:r>
            <w:r w:rsidR="00004975" w:rsidRPr="00F67986">
              <w:rPr>
                <w:rFonts w:asciiTheme="minorHAnsi" w:hAnsiTheme="minorHAnsi" w:cstheme="minorHAnsi"/>
                <w:sz w:val="24"/>
                <w:szCs w:val="24"/>
              </w:rPr>
              <w:t>Конструктивно</w:t>
            </w:r>
            <w:r w:rsidR="00004975">
              <w:rPr>
                <w:rFonts w:asciiTheme="minorHAnsi" w:hAnsiTheme="minorHAnsi" w:cstheme="minorHAnsi"/>
                <w:sz w:val="24"/>
                <w:szCs w:val="24"/>
              </w:rPr>
              <w:t xml:space="preserve">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578F5B12"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C842FE">
              <w:rPr>
                <w:rFonts w:asciiTheme="minorHAnsi" w:hAnsiTheme="minorHAnsi" w:cstheme="minorHAnsi"/>
                <w:sz w:val="24"/>
                <w:szCs w:val="24"/>
              </w:rPr>
              <w:t xml:space="preserve">количестве </w:t>
            </w:r>
            <w:r w:rsidR="00EC2C3C">
              <w:rPr>
                <w:rFonts w:asciiTheme="minorHAnsi" w:hAnsiTheme="minorHAnsi" w:cstheme="minorHAnsi"/>
                <w:sz w:val="24"/>
                <w:szCs w:val="24"/>
              </w:rPr>
              <w:t>2</w:t>
            </w:r>
            <w:r w:rsidR="005B6469" w:rsidRPr="00C842FE">
              <w:rPr>
                <w:rFonts w:asciiTheme="minorHAnsi" w:hAnsiTheme="minorHAnsi" w:cstheme="minorHAnsi"/>
                <w:sz w:val="24"/>
                <w:szCs w:val="24"/>
              </w:rPr>
              <w:t>-</w:t>
            </w:r>
            <w:r w:rsidRPr="00C842FE">
              <w:rPr>
                <w:rFonts w:asciiTheme="minorHAnsi" w:hAnsiTheme="minorHAnsi" w:cstheme="minorHAnsi"/>
                <w:sz w:val="24"/>
                <w:szCs w:val="24"/>
              </w:rPr>
              <w:t>х штук</w:t>
            </w:r>
            <w:r w:rsidR="00B45160" w:rsidRPr="00C842FE">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429A680"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949CB">
              <w:rPr>
                <w:rFonts w:asciiTheme="minorHAnsi" w:hAnsiTheme="minorHAnsi" w:cstheme="minorHAnsi"/>
                <w:sz w:val="24"/>
                <w:szCs w:val="24"/>
              </w:rPr>
              <w:t>304</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1EBE7D16"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 xml:space="preserve">возможности деления указателя на </w:t>
            </w:r>
            <w:r w:rsidR="005949CB">
              <w:rPr>
                <w:rFonts w:asciiTheme="minorHAnsi" w:hAnsiTheme="minorHAnsi" w:cstheme="minorHAnsi"/>
                <w:sz w:val="24"/>
                <w:szCs w:val="24"/>
              </w:rPr>
              <w:t>2</w:t>
            </w:r>
            <w:r w:rsidR="00083FFF">
              <w:rPr>
                <w:rFonts w:asciiTheme="minorHAnsi" w:hAnsiTheme="minorHAnsi" w:cstheme="minorHAnsi"/>
                <w:sz w:val="24"/>
                <w:szCs w:val="24"/>
              </w:rPr>
              <w:t xml:space="preserve">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w:t>
            </w:r>
            <w:r w:rsidRPr="00AA74DA">
              <w:rPr>
                <w:rFonts w:asciiTheme="minorHAnsi" w:hAnsiTheme="minorHAnsi" w:cstheme="minorHAnsi"/>
                <w:sz w:val="24"/>
                <w:szCs w:val="24"/>
              </w:rPr>
              <w:lastRenderedPageBreak/>
              <w:t>использованием, проста</w:t>
            </w:r>
            <w:r w:rsidR="005949CB">
              <w:rPr>
                <w:rFonts w:asciiTheme="minorHAnsi" w:hAnsiTheme="minorHAnsi" w:cstheme="minorHAnsi"/>
                <w:sz w:val="24"/>
                <w:szCs w:val="24"/>
              </w:rPr>
              <w:t>вки</w:t>
            </w:r>
            <w:r w:rsidRPr="00AA74DA">
              <w:rPr>
                <w:rFonts w:asciiTheme="minorHAnsi" w:hAnsiTheme="minorHAnsi" w:cstheme="minorHAnsi"/>
                <w:sz w:val="24"/>
                <w:szCs w:val="24"/>
              </w:rPr>
              <w:t>, выполненн</w:t>
            </w:r>
            <w:r w:rsidR="005949CB">
              <w:rPr>
                <w:rFonts w:asciiTheme="minorHAnsi" w:hAnsiTheme="minorHAnsi" w:cstheme="minorHAnsi"/>
                <w:sz w:val="24"/>
                <w:szCs w:val="24"/>
              </w:rPr>
              <w:t>ой</w:t>
            </w:r>
            <w:r w:rsidRPr="00AA74DA">
              <w:rPr>
                <w:rFonts w:asciiTheme="minorHAnsi" w:hAnsiTheme="minorHAnsi" w:cstheme="minorHAnsi"/>
                <w:sz w:val="24"/>
                <w:szCs w:val="24"/>
              </w:rPr>
              <w:t xml:space="preserve">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0BA51E9D"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C842FE">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63243EF2"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43BF0" w:rsidRPr="00143BF0">
              <w:rPr>
                <w:rFonts w:asciiTheme="minorHAnsi" w:hAnsiTheme="minorHAnsi" w:cstheme="minorHAnsi"/>
                <w:sz w:val="24"/>
                <w:szCs w:val="24"/>
              </w:rPr>
              <w:t>219x312x30 мм</w:t>
            </w:r>
            <w:r w:rsidR="00143BF0">
              <w:rPr>
                <w:rFonts w:asciiTheme="minorHAnsi" w:hAnsiTheme="minorHAnsi" w:cstheme="minorHAnsi"/>
                <w:sz w:val="24"/>
                <w:szCs w:val="24"/>
              </w:rPr>
              <w:t>.</w:t>
            </w:r>
          </w:p>
          <w:p w14:paraId="43D31926" w14:textId="5B0A08FC"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w:t>
            </w:r>
            <w:proofErr w:type="gramStart"/>
            <w:r w:rsidRPr="005B6469">
              <w:rPr>
                <w:rFonts w:asciiTheme="minorHAnsi" w:hAnsiTheme="minorHAnsi" w:cstheme="minorHAnsi"/>
                <w:sz w:val="24"/>
                <w:szCs w:val="24"/>
              </w:rPr>
              <w:t xml:space="preserve">информации:   </w:t>
            </w:r>
            <w:proofErr w:type="gramEnd"/>
            <w:r w:rsidRPr="005B6469">
              <w:rPr>
                <w:rFonts w:asciiTheme="minorHAnsi" w:hAnsiTheme="minorHAnsi" w:cstheme="minorHAnsi"/>
                <w:sz w:val="24"/>
                <w:szCs w:val="24"/>
              </w:rPr>
              <w:t xml:space="preserve">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w:t>
            </w:r>
            <w:r w:rsidR="0028494B">
              <w:rPr>
                <w:rFonts w:asciiTheme="minorHAnsi" w:hAnsiTheme="minorHAnsi" w:cstheme="minorHAnsi"/>
                <w:sz w:val="24"/>
                <w:szCs w:val="24"/>
              </w:rPr>
              <w:t>304</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906363" w:rsidRPr="00435B93" w14:paraId="706E1D5D" w14:textId="77777777" w:rsidTr="001D092A">
        <w:trPr>
          <w:trHeight w:val="18"/>
        </w:trPr>
        <w:tc>
          <w:tcPr>
            <w:tcW w:w="2982" w:type="dxa"/>
            <w:shd w:val="clear" w:color="auto" w:fill="auto"/>
          </w:tcPr>
          <w:p w14:paraId="06B17F72" w14:textId="10D7222A" w:rsidR="00906363" w:rsidRPr="00435B93" w:rsidRDefault="00906363" w:rsidP="00906363">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33D3428A" w14:textId="77777777" w:rsidR="00906363" w:rsidRDefault="00906363" w:rsidP="00906363">
            <w:pPr>
              <w:rPr>
                <w:rFonts w:asciiTheme="minorHAnsi" w:hAnsiTheme="minorHAnsi" w:cstheme="minorHAnsi"/>
                <w:sz w:val="24"/>
                <w:szCs w:val="24"/>
              </w:rPr>
            </w:pPr>
            <w:r w:rsidRPr="00457073">
              <w:rPr>
                <w:rFonts w:asciiTheme="minorHAnsi" w:hAnsiTheme="minorHAnsi" w:cstheme="minorHAnsi"/>
                <w:sz w:val="24"/>
                <w:szCs w:val="24"/>
              </w:rPr>
              <w:t>Пиктограмм</w:t>
            </w:r>
            <w:r>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Pr>
                <w:rFonts w:asciiTheme="minorHAnsi" w:hAnsiTheme="minorHAnsi" w:cstheme="minorHAnsi"/>
                <w:sz w:val="24"/>
                <w:szCs w:val="24"/>
              </w:rPr>
              <w:t>ые</w:t>
            </w:r>
            <w:r w:rsidRPr="00457073">
              <w:rPr>
                <w:rFonts w:asciiTheme="minorHAnsi" w:hAnsiTheme="minorHAnsi" w:cstheme="minorHAnsi"/>
                <w:sz w:val="24"/>
                <w:szCs w:val="24"/>
              </w:rPr>
              <w:t xml:space="preserve"> изображени</w:t>
            </w:r>
            <w:r>
              <w:rPr>
                <w:rFonts w:asciiTheme="minorHAnsi" w:hAnsiTheme="minorHAnsi" w:cstheme="minorHAnsi"/>
                <w:sz w:val="24"/>
                <w:szCs w:val="24"/>
              </w:rPr>
              <w:t>я с</w:t>
            </w:r>
            <w:r w:rsidRPr="00EA4FA0">
              <w:rPr>
                <w:rFonts w:asciiTheme="minorHAnsi" w:hAnsiTheme="minorHAnsi" w:cstheme="minorHAnsi"/>
                <w:sz w:val="24"/>
                <w:szCs w:val="24"/>
              </w:rPr>
              <w:t xml:space="preserve"> высотой подъёма рисунка не менее 2</w:t>
            </w:r>
            <w:r>
              <w:rPr>
                <w:rFonts w:asciiTheme="minorHAnsi" w:hAnsiTheme="minorHAnsi" w:cstheme="minorHAnsi"/>
                <w:sz w:val="24"/>
                <w:szCs w:val="24"/>
              </w:rPr>
              <w:t xml:space="preserve"> </w:t>
            </w:r>
            <w:proofErr w:type="gramStart"/>
            <w:r w:rsidRPr="00EA4FA0">
              <w:rPr>
                <w:rFonts w:asciiTheme="minorHAnsi" w:hAnsiTheme="minorHAnsi" w:cstheme="minorHAnsi"/>
                <w:sz w:val="24"/>
                <w:szCs w:val="24"/>
              </w:rPr>
              <w:t>мм</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пиктограмма с символическим изображением мужского общественного туалета;                                                                                                                  </w:t>
            </w:r>
            <w:r w:rsidRPr="00FE345A">
              <w:rPr>
                <w:rFonts w:asciiTheme="minorHAnsi" w:hAnsiTheme="minorHAnsi" w:cstheme="minorHAnsi"/>
                <w:sz w:val="24"/>
                <w:szCs w:val="24"/>
              </w:rPr>
              <w:t xml:space="preserve">- пиктограмма с символическим изображением </w:t>
            </w:r>
            <w:r>
              <w:rPr>
                <w:rFonts w:asciiTheme="minorHAnsi" w:hAnsiTheme="minorHAnsi" w:cstheme="minorHAnsi"/>
                <w:sz w:val="24"/>
                <w:szCs w:val="24"/>
              </w:rPr>
              <w:t xml:space="preserve">доступности общественного туалета для человека в инвалидном кресле.  </w:t>
            </w:r>
          </w:p>
          <w:p w14:paraId="6272FD59" w14:textId="15C1D816" w:rsidR="00906363" w:rsidRPr="00435B93" w:rsidRDefault="00906363" w:rsidP="00906363">
            <w:pPr>
              <w:rPr>
                <w:rFonts w:asciiTheme="minorHAnsi" w:hAnsiTheme="minorHAnsi" w:cstheme="minorHAnsi"/>
                <w:sz w:val="24"/>
                <w:szCs w:val="24"/>
              </w:rPr>
            </w:pPr>
            <w:r w:rsidRPr="005B6469">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w:t>
            </w:r>
            <w:r w:rsidRPr="00CA235B">
              <w:rPr>
                <w:rFonts w:asciiTheme="minorHAnsi" w:hAnsiTheme="minorHAnsi" w:cstheme="minorHAnsi"/>
                <w:sz w:val="24"/>
                <w:szCs w:val="24"/>
              </w:rPr>
              <w:t>Брайля: «</w:t>
            </w:r>
            <w:r w:rsidRPr="006443FD">
              <w:rPr>
                <w:rFonts w:asciiTheme="minorHAnsi" w:hAnsiTheme="minorHAnsi" w:cstheme="minorHAnsi"/>
                <w:i/>
                <w:iCs/>
                <w:sz w:val="24"/>
                <w:szCs w:val="24"/>
              </w:rPr>
              <w:t>мужской общественный туалет с кабиной доступной для инвалидов на кресле-коляске</w:t>
            </w:r>
            <w:r w:rsidRPr="00CA235B">
              <w:rPr>
                <w:rFonts w:asciiTheme="minorHAnsi" w:hAnsiTheme="minorHAnsi" w:cstheme="minorHAnsi"/>
                <w:sz w:val="24"/>
                <w:szCs w:val="24"/>
              </w:rPr>
              <w:t>».</w:t>
            </w:r>
            <w:r w:rsidRPr="005B6469">
              <w:rPr>
                <w:rFonts w:asciiTheme="minorHAnsi" w:hAnsiTheme="minorHAnsi" w:cstheme="minorHAnsi"/>
                <w:sz w:val="24"/>
                <w:szCs w:val="24"/>
              </w:rPr>
              <w:t xml:space="preserve">                          </w:t>
            </w:r>
            <w:r>
              <w:rPr>
                <w:rFonts w:asciiTheme="minorHAnsi" w:hAnsiTheme="minorHAnsi" w:cstheme="minorHAnsi"/>
                <w:sz w:val="24"/>
                <w:szCs w:val="24"/>
              </w:rPr>
              <w:t xml:space="preserve">                                                                                 </w:t>
            </w:r>
            <w:r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34C9FA40" w:rsidR="002F5876" w:rsidRPr="00457073" w:rsidRDefault="00906363" w:rsidP="007B67C1">
            <w:pPr>
              <w:rPr>
                <w:rFonts w:asciiTheme="minorHAnsi" w:hAnsiTheme="minorHAnsi" w:cstheme="minorHAnsi"/>
                <w:sz w:val="24"/>
                <w:szCs w:val="24"/>
              </w:rPr>
            </w:pPr>
            <w:r w:rsidRPr="00906363">
              <w:rPr>
                <w:rFonts w:asciiTheme="minorHAnsi" w:hAnsiTheme="minorHAnsi" w:cstheme="minorHAnsi"/>
                <w:sz w:val="24"/>
                <w:szCs w:val="24"/>
              </w:rPr>
              <w:t>Для обеспечения оптимальных условий восприятия слабовидящим человеком тактильная пиктограмма «мужской общественный туалет» должна иметь желтый цвет поверхности с нанесением рельефно стилизованного изображения черного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61B37024" w:rsidR="0058030E" w:rsidRPr="00586216" w:rsidRDefault="00906363" w:rsidP="0058030E">
      <w:pPr>
        <w:rPr>
          <w:rFonts w:asciiTheme="minorHAnsi" w:hAnsiTheme="minorHAnsi" w:cstheme="minorHAnsi"/>
          <w:sz w:val="24"/>
          <w:szCs w:val="24"/>
        </w:rPr>
      </w:pPr>
      <w:r w:rsidRPr="00906363">
        <w:rPr>
          <w:rFonts w:asciiTheme="minorHAnsi" w:hAnsiTheme="minorHAnsi" w:cstheme="minorHAnsi"/>
          <w:sz w:val="24"/>
          <w:szCs w:val="24"/>
        </w:rPr>
        <w:t>Пиктограмма тактильная, модульная "Мужской общественный туалет с кабиной доступной для инвалидов на кресле-коляске", с наклонным полем, двухсекционная, М13</w:t>
      </w:r>
      <w:r w:rsidR="00143BF0">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lastRenderedPageBreak/>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23D0"/>
    <w:rsid w:val="00143BF0"/>
    <w:rsid w:val="0016721C"/>
    <w:rsid w:val="00180DFF"/>
    <w:rsid w:val="001C2B7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5E72"/>
    <w:rsid w:val="00457073"/>
    <w:rsid w:val="00460F68"/>
    <w:rsid w:val="00464DF5"/>
    <w:rsid w:val="00477670"/>
    <w:rsid w:val="00484B90"/>
    <w:rsid w:val="00485F2E"/>
    <w:rsid w:val="004A0392"/>
    <w:rsid w:val="004E2C08"/>
    <w:rsid w:val="004F7C5E"/>
    <w:rsid w:val="0050685D"/>
    <w:rsid w:val="00526698"/>
    <w:rsid w:val="005352B4"/>
    <w:rsid w:val="0056300C"/>
    <w:rsid w:val="0058030E"/>
    <w:rsid w:val="00586216"/>
    <w:rsid w:val="005949CB"/>
    <w:rsid w:val="005A12F9"/>
    <w:rsid w:val="005B03C8"/>
    <w:rsid w:val="005B0461"/>
    <w:rsid w:val="005B6469"/>
    <w:rsid w:val="005D3479"/>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06363"/>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5063C"/>
    <w:rsid w:val="00B60FF7"/>
    <w:rsid w:val="00B7006D"/>
    <w:rsid w:val="00B80600"/>
    <w:rsid w:val="00BA30A5"/>
    <w:rsid w:val="00BD2F43"/>
    <w:rsid w:val="00BD6261"/>
    <w:rsid w:val="00BD668A"/>
    <w:rsid w:val="00BF2DA7"/>
    <w:rsid w:val="00BF7C3A"/>
    <w:rsid w:val="00C01E4E"/>
    <w:rsid w:val="00C102CA"/>
    <w:rsid w:val="00C17D64"/>
    <w:rsid w:val="00C33FFC"/>
    <w:rsid w:val="00C62781"/>
    <w:rsid w:val="00C842FE"/>
    <w:rsid w:val="00C927C2"/>
    <w:rsid w:val="00C96334"/>
    <w:rsid w:val="00CA150D"/>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83259"/>
    <w:rsid w:val="00EA4955"/>
    <w:rsid w:val="00EA4FA0"/>
    <w:rsid w:val="00EA75A9"/>
    <w:rsid w:val="00EB2A50"/>
    <w:rsid w:val="00EB37BE"/>
    <w:rsid w:val="00EC2C3C"/>
    <w:rsid w:val="00EC7994"/>
    <w:rsid w:val="00ED243C"/>
    <w:rsid w:val="00ED3028"/>
    <w:rsid w:val="00ED3EE2"/>
    <w:rsid w:val="00ED533E"/>
    <w:rsid w:val="00EE4916"/>
    <w:rsid w:val="00F00386"/>
    <w:rsid w:val="00F01652"/>
    <w:rsid w:val="00F2175D"/>
    <w:rsid w:val="00F22015"/>
    <w:rsid w:val="00F67986"/>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8</cp:revision>
  <cp:lastPrinted>2017-09-21T07:53:00Z</cp:lastPrinted>
  <dcterms:created xsi:type="dcterms:W3CDTF">2023-07-21T12:36:00Z</dcterms:created>
  <dcterms:modified xsi:type="dcterms:W3CDTF">2023-07-25T06:04:00Z</dcterms:modified>
</cp:coreProperties>
</file>