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60087ACF"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50363-0</w:t>
      </w:r>
      <w:r w:rsidR="00D41D8B">
        <w:rPr>
          <w:rFonts w:asciiTheme="minorHAnsi" w:hAnsiTheme="minorHAnsi" w:cstheme="minorHAnsi"/>
          <w:sz w:val="24"/>
          <w:szCs w:val="24"/>
        </w:rPr>
        <w:t>5</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28EEA45E" w14:textId="77777777" w:rsidR="00D41D8B" w:rsidRDefault="00D41D8B" w:rsidP="0058030E">
      <w:pPr>
        <w:rPr>
          <w:rFonts w:asciiTheme="minorHAnsi" w:hAnsiTheme="minorHAnsi" w:cstheme="minorHAnsi"/>
          <w:color w:val="000000"/>
          <w:sz w:val="23"/>
          <w:szCs w:val="23"/>
          <w:shd w:val="clear" w:color="auto" w:fill="FFFFFF"/>
        </w:rPr>
      </w:pPr>
      <w:r w:rsidRPr="00D41D8B">
        <w:rPr>
          <w:rFonts w:asciiTheme="minorHAnsi" w:hAnsiTheme="minorHAnsi" w:cstheme="minorHAnsi"/>
          <w:color w:val="000000"/>
          <w:sz w:val="23"/>
          <w:szCs w:val="23"/>
          <w:shd w:val="clear" w:color="auto" w:fill="FFFFFF"/>
        </w:rPr>
        <w:t>Пиктограмма тактильная, модульная "Доступность объектов для инвалидов по зрению и в креслах-колясках", с наклонным полем, двухсекционная, М5</w:t>
      </w:r>
    </w:p>
    <w:p w14:paraId="1100D431" w14:textId="2D90D95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1542EFDA"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00D41D8B">
              <w:rPr>
                <w:rFonts w:asciiTheme="minorHAnsi" w:hAnsiTheme="minorHAnsi" w:cstheme="minorHAnsi"/>
                <w:sz w:val="24"/>
                <w:szCs w:val="24"/>
              </w:rPr>
              <w:t xml:space="preserve">, </w:t>
            </w:r>
            <w:r w:rsidR="00D41D8B" w:rsidRPr="00D41D8B">
              <w:rPr>
                <w:rFonts w:asciiTheme="minorHAnsi" w:hAnsiTheme="minorHAnsi" w:cstheme="minorHAnsi"/>
                <w:sz w:val="24"/>
                <w:szCs w:val="24"/>
              </w:rPr>
              <w:t>который передаёт сведения о доступности объекта или сооружения для людей с дисфункцией зрения и лиц в инвалидных креслах посредством инфографики.</w:t>
            </w:r>
            <w:r w:rsidR="00D41D8B">
              <w:rPr>
                <w:rFonts w:asciiTheme="minorHAnsi" w:hAnsiTheme="minorHAnsi" w:cstheme="minorHAnsi"/>
                <w:sz w:val="24"/>
                <w:szCs w:val="24"/>
              </w:rPr>
              <w:t xml:space="preserve">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sidRPr="00F1477C">
              <w:rPr>
                <w:rFonts w:asciiTheme="minorHAnsi" w:hAnsiTheme="minorHAnsi" w:cstheme="minorHAnsi"/>
                <w:sz w:val="24"/>
                <w:szCs w:val="24"/>
              </w:rPr>
              <w:t>Конструктивно изделие</w:t>
            </w:r>
            <w:r w:rsidR="00A06F65" w:rsidRPr="00F1477C">
              <w:rPr>
                <w:rFonts w:asciiTheme="minorHAnsi" w:hAnsiTheme="minorHAnsi" w:cstheme="minorHAnsi"/>
                <w:sz w:val="24"/>
                <w:szCs w:val="24"/>
              </w:rPr>
              <w:t xml:space="preserve"> выполнен</w:t>
            </w:r>
            <w:r w:rsidR="00270046" w:rsidRPr="00F1477C">
              <w:rPr>
                <w:rFonts w:asciiTheme="minorHAnsi" w:hAnsiTheme="minorHAnsi" w:cstheme="minorHAnsi"/>
                <w:sz w:val="24"/>
                <w:szCs w:val="24"/>
              </w:rPr>
              <w:t>о</w:t>
            </w:r>
            <w:r w:rsidR="00A06F65" w:rsidRPr="00F1477C">
              <w:rPr>
                <w:rFonts w:asciiTheme="minorHAnsi" w:hAnsiTheme="minorHAnsi" w:cstheme="minorHAnsi"/>
                <w:sz w:val="24"/>
                <w:szCs w:val="24"/>
              </w:rPr>
              <w:t xml:space="preserve"> </w:t>
            </w:r>
            <w:r w:rsidR="00C222ED" w:rsidRPr="00F1477C">
              <w:rPr>
                <w:rFonts w:asciiTheme="minorHAnsi" w:hAnsiTheme="minorHAnsi" w:cstheme="minorHAnsi"/>
                <w:sz w:val="24"/>
                <w:szCs w:val="24"/>
              </w:rPr>
              <w:t>с вертикальным расположением пиктограмм,</w:t>
            </w:r>
            <w:r w:rsidR="00A06F65" w:rsidRPr="00F1477C">
              <w:rPr>
                <w:rFonts w:asciiTheme="minorHAnsi" w:hAnsiTheme="minorHAnsi" w:cstheme="minorHAnsi"/>
                <w:sz w:val="24"/>
                <w:szCs w:val="24"/>
              </w:rPr>
              <w:t xml:space="preserve"> имеет </w:t>
            </w:r>
            <w:r w:rsidR="00143BF0" w:rsidRPr="00F1477C">
              <w:rPr>
                <w:rFonts w:asciiTheme="minorHAnsi" w:hAnsiTheme="minorHAnsi" w:cstheme="minorHAnsi"/>
                <w:sz w:val="24"/>
                <w:szCs w:val="24"/>
              </w:rPr>
              <w:t>2</w:t>
            </w:r>
            <w:r w:rsidR="00A06F65" w:rsidRPr="00F1477C">
              <w:rPr>
                <w:rFonts w:asciiTheme="minorHAnsi" w:hAnsiTheme="minorHAnsi" w:cstheme="minorHAnsi"/>
                <w:sz w:val="24"/>
                <w:szCs w:val="24"/>
              </w:rPr>
              <w:t xml:space="preserve"> секции для размещения </w:t>
            </w:r>
            <w:r w:rsidR="00F733E3" w:rsidRPr="00F1477C">
              <w:rPr>
                <w:rFonts w:asciiTheme="minorHAnsi" w:hAnsiTheme="minorHAnsi" w:cstheme="minorHAnsi"/>
                <w:sz w:val="24"/>
                <w:szCs w:val="24"/>
              </w:rPr>
              <w:t xml:space="preserve">тактильных </w:t>
            </w:r>
            <w:r w:rsidR="00C222ED" w:rsidRPr="00F1477C">
              <w:rPr>
                <w:rFonts w:asciiTheme="minorHAnsi" w:hAnsiTheme="minorHAnsi" w:cstheme="minorHAnsi"/>
                <w:sz w:val="24"/>
                <w:szCs w:val="24"/>
              </w:rPr>
              <w:t>указателей</w:t>
            </w:r>
            <w:r w:rsidR="00095420" w:rsidRPr="00F1477C">
              <w:rPr>
                <w:rFonts w:asciiTheme="minorHAnsi" w:hAnsiTheme="minorHAnsi" w:cstheme="minorHAnsi"/>
                <w:sz w:val="24"/>
                <w:szCs w:val="24"/>
              </w:rPr>
              <w:t>, а также наклонную поверхность</w:t>
            </w:r>
            <w:r w:rsidRPr="00F1477C">
              <w:rPr>
                <w:rFonts w:asciiTheme="minorHAnsi" w:hAnsiTheme="minorHAnsi" w:cstheme="minorHAnsi"/>
                <w:sz w:val="24"/>
                <w:szCs w:val="24"/>
              </w:rPr>
              <w:t>, расположенн</w:t>
            </w:r>
            <w:r w:rsidR="00095420" w:rsidRPr="00F1477C">
              <w:rPr>
                <w:rFonts w:asciiTheme="minorHAnsi" w:hAnsiTheme="minorHAnsi" w:cstheme="minorHAnsi"/>
                <w:sz w:val="24"/>
                <w:szCs w:val="24"/>
              </w:rPr>
              <w:t>ую</w:t>
            </w:r>
            <w:r w:rsidRPr="00F1477C">
              <w:rPr>
                <w:rFonts w:asciiTheme="minorHAnsi" w:hAnsiTheme="minorHAnsi" w:cstheme="minorHAnsi"/>
                <w:sz w:val="24"/>
                <w:szCs w:val="24"/>
              </w:rPr>
              <w:t xml:space="preserve"> под углом 30</w:t>
            </w:r>
            <w:r w:rsidR="001E0FA9" w:rsidRPr="00F1477C">
              <w:rPr>
                <w:rFonts w:asciiTheme="minorHAnsi" w:hAnsiTheme="minorHAnsi" w:cstheme="minorHAnsi"/>
                <w:sz w:val="24"/>
                <w:szCs w:val="24"/>
                <w:vertAlign w:val="superscript"/>
              </w:rPr>
              <w:t>0</w:t>
            </w:r>
            <w:r w:rsidRPr="00F1477C">
              <w:rPr>
                <w:rFonts w:asciiTheme="minorHAnsi" w:hAnsiTheme="minorHAnsi" w:cstheme="minorHAnsi"/>
                <w:sz w:val="24"/>
                <w:szCs w:val="24"/>
              </w:rPr>
              <w:t>, предназначенн</w:t>
            </w:r>
            <w:r w:rsidR="00BD2F43" w:rsidRPr="00F1477C">
              <w:rPr>
                <w:rFonts w:asciiTheme="minorHAnsi" w:hAnsiTheme="minorHAnsi" w:cstheme="minorHAnsi"/>
                <w:sz w:val="24"/>
                <w:szCs w:val="24"/>
              </w:rPr>
              <w:t>ую</w:t>
            </w:r>
            <w:r w:rsidRPr="00F1477C">
              <w:rPr>
                <w:rFonts w:asciiTheme="minorHAnsi" w:hAnsiTheme="minorHAnsi" w:cstheme="minorHAnsi"/>
                <w:sz w:val="24"/>
                <w:szCs w:val="24"/>
              </w:rPr>
              <w:t xml:space="preserve"> для размещения</w:t>
            </w:r>
            <w:r w:rsidRPr="00477670">
              <w:rPr>
                <w:rFonts w:asciiTheme="minorHAnsi" w:hAnsiTheme="minorHAnsi" w:cstheme="minorHAnsi"/>
                <w:sz w:val="24"/>
                <w:szCs w:val="24"/>
              </w:rPr>
              <w:t xml:space="preserve">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proofErr w:type="gramStart"/>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proofErr w:type="gramEnd"/>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lastRenderedPageBreak/>
              <w:t>Требование к материалам</w:t>
            </w:r>
          </w:p>
        </w:tc>
        <w:tc>
          <w:tcPr>
            <w:tcW w:w="6794" w:type="dxa"/>
            <w:shd w:val="clear" w:color="auto" w:fill="auto"/>
          </w:tcPr>
          <w:p w14:paraId="4DD1D274" w14:textId="1B06B769"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w:t>
            </w:r>
            <w:r w:rsidR="00D41D8B">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t xml:space="preserve">Требование к конструкции </w:t>
            </w:r>
          </w:p>
        </w:tc>
        <w:tc>
          <w:tcPr>
            <w:tcW w:w="6794" w:type="dxa"/>
            <w:shd w:val="clear" w:color="auto" w:fill="auto"/>
          </w:tcPr>
          <w:p w14:paraId="2108A9B9" w14:textId="012C09B5"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w:t>
            </w:r>
            <w:r w:rsidRPr="00F1477C">
              <w:rPr>
                <w:rFonts w:asciiTheme="minorHAnsi" w:hAnsiTheme="minorHAnsi" w:cstheme="minorHAnsi"/>
                <w:sz w:val="24"/>
                <w:szCs w:val="24"/>
              </w:rPr>
              <w:t>конструкцию</w:t>
            </w:r>
            <w:r w:rsidR="00EE4916" w:rsidRPr="00F1477C">
              <w:rPr>
                <w:rFonts w:asciiTheme="minorHAnsi" w:hAnsiTheme="minorHAnsi" w:cstheme="minorHAnsi"/>
                <w:sz w:val="24"/>
                <w:szCs w:val="24"/>
              </w:rPr>
              <w:t xml:space="preserve">, </w:t>
            </w:r>
            <w:r w:rsidR="00C222ED" w:rsidRPr="00F1477C">
              <w:rPr>
                <w:rFonts w:asciiTheme="minorHAnsi" w:hAnsiTheme="minorHAnsi" w:cstheme="minorHAnsi"/>
                <w:sz w:val="24"/>
                <w:szCs w:val="24"/>
              </w:rPr>
              <w:t>с вертикальным расположением пиктограмм</w:t>
            </w:r>
            <w:r w:rsidR="00A062BE" w:rsidRPr="00F1477C">
              <w:rPr>
                <w:rFonts w:asciiTheme="minorHAnsi" w:hAnsiTheme="minorHAnsi" w:cstheme="minorHAnsi"/>
                <w:sz w:val="24"/>
                <w:szCs w:val="24"/>
              </w:rPr>
              <w:t>,</w:t>
            </w:r>
            <w:r w:rsidRPr="00F1477C">
              <w:rPr>
                <w:rFonts w:asciiTheme="minorHAnsi" w:hAnsiTheme="minorHAnsi" w:cstheme="minorHAnsi"/>
                <w:sz w:val="24"/>
                <w:szCs w:val="24"/>
              </w:rPr>
              <w:t xml:space="preserve"> с наклонной поверхностью, расположенной под углом 30</w:t>
            </w:r>
            <w:r w:rsidR="005B6469" w:rsidRPr="00F1477C">
              <w:rPr>
                <w:rFonts w:asciiTheme="minorHAnsi" w:hAnsiTheme="minorHAnsi" w:cstheme="minorHAnsi"/>
                <w:sz w:val="24"/>
                <w:szCs w:val="24"/>
                <w:vertAlign w:val="superscript"/>
              </w:rPr>
              <w:t>0</w:t>
            </w:r>
            <w:r w:rsidR="005B6469" w:rsidRPr="00F1477C">
              <w:rPr>
                <w:rFonts w:asciiTheme="minorHAnsi" w:hAnsiTheme="minorHAnsi" w:cstheme="minorHAnsi"/>
                <w:sz w:val="24"/>
                <w:szCs w:val="24"/>
              </w:rPr>
              <w:t>.</w:t>
            </w:r>
            <w:r w:rsidRPr="00F1477C">
              <w:rPr>
                <w:rFonts w:asciiTheme="minorHAnsi" w:hAnsiTheme="minorHAnsi" w:cstheme="minorHAnsi"/>
                <w:sz w:val="24"/>
                <w:szCs w:val="24"/>
              </w:rPr>
              <w:t xml:space="preserve"> </w:t>
            </w:r>
            <w:r w:rsidR="00004975" w:rsidRPr="00F1477C">
              <w:rPr>
                <w:rFonts w:asciiTheme="minorHAnsi" w:hAnsiTheme="minorHAnsi" w:cstheme="minorHAnsi"/>
                <w:sz w:val="24"/>
                <w:szCs w:val="24"/>
              </w:rPr>
              <w:t xml:space="preserve">Конструктивно изделие состоит </w:t>
            </w:r>
            <w:r w:rsidRPr="00F1477C">
              <w:rPr>
                <w:rFonts w:asciiTheme="minorHAnsi" w:hAnsiTheme="minorHAnsi" w:cstheme="minorHAnsi"/>
                <w:sz w:val="24"/>
                <w:szCs w:val="24"/>
              </w:rPr>
              <w:t>из алюминиевого профиля</w:t>
            </w:r>
            <w:r w:rsidR="00E779DD" w:rsidRPr="00F1477C">
              <w:rPr>
                <w:rFonts w:asciiTheme="minorHAnsi" w:hAnsiTheme="minorHAnsi" w:cstheme="minorHAnsi"/>
                <w:sz w:val="24"/>
                <w:szCs w:val="24"/>
              </w:rPr>
              <w:t>,</w:t>
            </w:r>
            <w:r w:rsidR="004F7C5E" w:rsidRPr="00F1477C">
              <w:rPr>
                <w:rFonts w:asciiTheme="minorHAnsi" w:hAnsiTheme="minorHAnsi" w:cstheme="minorHAnsi"/>
                <w:sz w:val="24"/>
                <w:szCs w:val="24"/>
              </w:rPr>
              <w:t xml:space="preserve"> тактильных</w:t>
            </w:r>
            <w:r w:rsidR="004F7C5E">
              <w:rPr>
                <w:rFonts w:asciiTheme="minorHAnsi" w:hAnsiTheme="minorHAnsi" w:cstheme="minorHAnsi"/>
                <w:sz w:val="24"/>
                <w:szCs w:val="24"/>
              </w:rPr>
              <w:t xml:space="preserve">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774C9D91"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 xml:space="preserve">количестве </w:t>
            </w:r>
            <w:r w:rsidR="00E4642F">
              <w:rPr>
                <w:rFonts w:asciiTheme="minorHAnsi" w:hAnsiTheme="minorHAnsi" w:cstheme="minorHAnsi"/>
                <w:sz w:val="24"/>
                <w:szCs w:val="24"/>
              </w:rPr>
              <w:t>4</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00AE8C61"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менее</w:t>
            </w:r>
            <w:r w:rsidR="00E4642F">
              <w:rPr>
                <w:rFonts w:asciiTheme="minorHAnsi" w:hAnsiTheme="minorHAnsi" w:cstheme="minorHAnsi"/>
                <w:sz w:val="24"/>
                <w:szCs w:val="24"/>
              </w:rPr>
              <w:t xml:space="preserve"> 150</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413FA738" w14:textId="77777777" w:rsidR="00E4642F" w:rsidRDefault="000C7B26" w:rsidP="00E4642F">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w:t>
            </w:r>
            <w:r w:rsidR="00E4642F">
              <w:rPr>
                <w:rFonts w:asciiTheme="minorHAnsi" w:hAnsiTheme="minorHAnsi" w:cstheme="minorHAnsi"/>
                <w:sz w:val="24"/>
                <w:szCs w:val="24"/>
              </w:rPr>
              <w:t>4</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E4642F">
              <w:rPr>
                <w:rFonts w:asciiTheme="minorHAnsi" w:hAnsiTheme="minorHAnsi" w:cstheme="minorHAnsi"/>
                <w:sz w:val="24"/>
                <w:szCs w:val="24"/>
              </w:rPr>
              <w:t xml:space="preserve">Форма </w:t>
            </w:r>
            <w:r w:rsidR="00E4642F">
              <w:rPr>
                <w:rFonts w:asciiTheme="minorHAnsi" w:hAnsiTheme="minorHAnsi" w:cstheme="minorHAnsi"/>
                <w:sz w:val="24"/>
                <w:szCs w:val="24"/>
              </w:rPr>
              <w:lastRenderedPageBreak/>
              <w:t>заглушек должна иметь цельнолитую конструкцию, обеспечивающую сборку всех элементов изделия.</w:t>
            </w:r>
          </w:p>
          <w:p w14:paraId="5EB4F3CC" w14:textId="57882C63" w:rsidR="000C7B26" w:rsidRPr="000C7B26" w:rsidRDefault="00E4642F" w:rsidP="00E4642F">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Для обеспечения надежной фиксации, на заглушках должны быть выполнены отверстия под саморезы 3х12, выполненные из нержавейки, в количестве 18 шт. </w:t>
            </w:r>
            <w:r w:rsidR="000C7B26" w:rsidRPr="000C7B26">
              <w:rPr>
                <w:rFonts w:asciiTheme="minorHAnsi" w:hAnsiTheme="minorHAnsi" w:cstheme="minorHAnsi"/>
                <w:sz w:val="24"/>
                <w:szCs w:val="24"/>
              </w:rPr>
              <w:t xml:space="preserve">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1E368BB6"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E4642F">
              <w:rPr>
                <w:rFonts w:asciiTheme="minorHAnsi" w:hAnsiTheme="minorHAnsi" w:cstheme="minorHAnsi"/>
                <w:sz w:val="24"/>
                <w:szCs w:val="24"/>
              </w:rPr>
              <w:t>395</w:t>
            </w:r>
            <w:r w:rsidR="00143BF0" w:rsidRPr="00143BF0">
              <w:rPr>
                <w:rFonts w:asciiTheme="minorHAnsi" w:hAnsiTheme="minorHAnsi" w:cstheme="minorHAnsi"/>
                <w:sz w:val="24"/>
                <w:szCs w:val="24"/>
              </w:rPr>
              <w:t>x</w:t>
            </w:r>
            <w:r w:rsidR="00E4642F">
              <w:rPr>
                <w:rFonts w:asciiTheme="minorHAnsi" w:hAnsiTheme="minorHAnsi" w:cstheme="minorHAnsi"/>
                <w:sz w:val="24"/>
                <w:szCs w:val="24"/>
              </w:rPr>
              <w:t>158</w:t>
            </w:r>
            <w:r w:rsidR="00143BF0" w:rsidRPr="00143BF0">
              <w:rPr>
                <w:rFonts w:asciiTheme="minorHAnsi" w:hAnsiTheme="minorHAnsi" w:cstheme="minorHAnsi"/>
                <w:sz w:val="24"/>
                <w:szCs w:val="24"/>
              </w:rPr>
              <w:t>x30 мм</w:t>
            </w:r>
            <w:r w:rsidR="00143BF0">
              <w:rPr>
                <w:rFonts w:asciiTheme="minorHAnsi" w:hAnsiTheme="minorHAnsi" w:cstheme="minorHAnsi"/>
                <w:sz w:val="24"/>
                <w:szCs w:val="24"/>
              </w:rPr>
              <w:t>.</w:t>
            </w:r>
          </w:p>
          <w:p w14:paraId="43D31926" w14:textId="55270AD4"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w:t>
            </w:r>
            <w:proofErr w:type="gramStart"/>
            <w:r w:rsidRPr="005B6469">
              <w:rPr>
                <w:rFonts w:asciiTheme="minorHAnsi" w:hAnsiTheme="minorHAnsi" w:cstheme="minorHAnsi"/>
                <w:sz w:val="24"/>
                <w:szCs w:val="24"/>
              </w:rPr>
              <w:t xml:space="preserve">информации:   </w:t>
            </w:r>
            <w:proofErr w:type="gramEnd"/>
            <w:r w:rsidRPr="005B6469">
              <w:rPr>
                <w:rFonts w:asciiTheme="minorHAnsi" w:hAnsiTheme="minorHAnsi" w:cstheme="minorHAnsi"/>
                <w:sz w:val="24"/>
                <w:szCs w:val="24"/>
              </w:rPr>
              <w:t xml:space="preserve">   - размер видимого поля тактильной пиктограммы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xml:space="preserve">):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30х</w:t>
            </w:r>
            <w:r w:rsidR="00E4642F">
              <w:rPr>
                <w:rFonts w:asciiTheme="minorHAnsi" w:hAnsiTheme="minorHAnsi" w:cstheme="minorHAnsi"/>
                <w:sz w:val="24"/>
                <w:szCs w:val="24"/>
              </w:rPr>
              <w:t>150</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132C646F" w14:textId="3A35B5AB" w:rsidR="00B96E76" w:rsidRDefault="00457073" w:rsidP="00B96E76">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proofErr w:type="gramStart"/>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proofErr w:type="gramEnd"/>
            <w:r w:rsidR="00B96E76">
              <w:rPr>
                <w:rFonts w:asciiTheme="minorHAnsi" w:hAnsiTheme="minorHAnsi" w:cstheme="minorHAnsi"/>
                <w:sz w:val="24"/>
                <w:szCs w:val="24"/>
              </w:rPr>
              <w:t xml:space="preserve">                  </w:t>
            </w:r>
            <w:r w:rsidR="004420ED">
              <w:rPr>
                <w:rFonts w:asciiTheme="minorHAnsi" w:hAnsiTheme="minorHAnsi" w:cstheme="minorHAnsi"/>
                <w:sz w:val="24"/>
                <w:szCs w:val="24"/>
              </w:rPr>
              <w:t xml:space="preserve">- </w:t>
            </w:r>
            <w:r w:rsidR="00BF2DA7">
              <w:rPr>
                <w:rFonts w:asciiTheme="minorHAnsi" w:hAnsiTheme="minorHAnsi" w:cstheme="minorHAnsi"/>
                <w:sz w:val="24"/>
                <w:szCs w:val="24"/>
              </w:rPr>
              <w:t>п</w:t>
            </w:r>
            <w:r w:rsidR="004420ED">
              <w:rPr>
                <w:rFonts w:asciiTheme="minorHAnsi" w:hAnsiTheme="minorHAnsi" w:cstheme="minorHAnsi"/>
                <w:sz w:val="24"/>
                <w:szCs w:val="24"/>
              </w:rPr>
              <w:t xml:space="preserve">иктограмма с символическим изображением </w:t>
            </w:r>
            <w:r w:rsidR="00EA75A9">
              <w:rPr>
                <w:rFonts w:asciiTheme="minorHAnsi" w:hAnsiTheme="minorHAnsi" w:cstheme="minorHAnsi"/>
                <w:sz w:val="24"/>
                <w:szCs w:val="24"/>
              </w:rPr>
              <w:t xml:space="preserve">очков;  </w:t>
            </w:r>
            <w:r w:rsidR="00BF2DA7">
              <w:rPr>
                <w:rFonts w:asciiTheme="minorHAnsi" w:hAnsiTheme="minorHAnsi" w:cstheme="minorHAnsi"/>
                <w:sz w:val="24"/>
                <w:szCs w:val="24"/>
              </w:rPr>
              <w:t xml:space="preserve">                   </w:t>
            </w:r>
            <w:r w:rsidR="004420ED" w:rsidRPr="00FE345A">
              <w:rPr>
                <w:rFonts w:asciiTheme="minorHAnsi" w:hAnsiTheme="minorHAnsi" w:cstheme="minorHAnsi"/>
                <w:sz w:val="24"/>
                <w:szCs w:val="24"/>
              </w:rPr>
              <w:t xml:space="preserve">- </w:t>
            </w:r>
            <w:r w:rsidR="00BF2DA7" w:rsidRPr="00FE345A">
              <w:rPr>
                <w:rFonts w:asciiTheme="minorHAnsi" w:hAnsiTheme="minorHAnsi" w:cstheme="minorHAnsi"/>
                <w:sz w:val="24"/>
                <w:szCs w:val="24"/>
              </w:rPr>
              <w:t>п</w:t>
            </w:r>
            <w:r w:rsidR="004420ED" w:rsidRPr="00FE345A">
              <w:rPr>
                <w:rFonts w:asciiTheme="minorHAnsi" w:hAnsiTheme="minorHAnsi" w:cstheme="minorHAnsi"/>
                <w:sz w:val="24"/>
                <w:szCs w:val="24"/>
              </w:rPr>
              <w:t xml:space="preserve">иктограмма с </w:t>
            </w:r>
            <w:r w:rsidR="0060047C" w:rsidRPr="00FE345A">
              <w:rPr>
                <w:rFonts w:asciiTheme="minorHAnsi" w:hAnsiTheme="minorHAnsi" w:cstheme="minorHAnsi"/>
                <w:sz w:val="24"/>
                <w:szCs w:val="24"/>
              </w:rPr>
              <w:t xml:space="preserve">символическим </w:t>
            </w:r>
            <w:r w:rsidR="004420ED" w:rsidRPr="00FE345A">
              <w:rPr>
                <w:rFonts w:asciiTheme="minorHAnsi" w:hAnsiTheme="minorHAnsi" w:cstheme="minorHAnsi"/>
                <w:sz w:val="24"/>
                <w:szCs w:val="24"/>
              </w:rPr>
              <w:t xml:space="preserve">изображением </w:t>
            </w:r>
            <w:r w:rsidR="00D41D8B">
              <w:rPr>
                <w:rFonts w:asciiTheme="minorHAnsi" w:hAnsiTheme="minorHAnsi" w:cstheme="minorHAnsi"/>
                <w:sz w:val="24"/>
                <w:szCs w:val="24"/>
              </w:rPr>
              <w:t>человека в инвалидном кресле</w:t>
            </w:r>
            <w:r w:rsidR="00FE345A" w:rsidRPr="00FE345A">
              <w:rPr>
                <w:rFonts w:asciiTheme="minorHAnsi" w:hAnsiTheme="minorHAnsi" w:cstheme="minorHAnsi"/>
                <w:sz w:val="24"/>
                <w:szCs w:val="24"/>
              </w:rPr>
              <w:t>.</w:t>
            </w:r>
            <w:r w:rsidR="00B96E76">
              <w:rPr>
                <w:rFonts w:asciiTheme="minorHAnsi" w:hAnsiTheme="minorHAnsi" w:cstheme="minorHAnsi"/>
                <w:sz w:val="24"/>
                <w:szCs w:val="24"/>
              </w:rPr>
              <w:t xml:space="preserve"> </w:t>
            </w:r>
          </w:p>
          <w:p w14:paraId="6272FD59" w14:textId="10A4BD81" w:rsidR="0058030E" w:rsidRPr="00435B93" w:rsidRDefault="00BF2DA7" w:rsidP="00B96E76">
            <w:pPr>
              <w:rPr>
                <w:rFonts w:asciiTheme="minorHAnsi" w:hAnsiTheme="minorHAnsi" w:cstheme="minorHAnsi"/>
                <w:sz w:val="24"/>
                <w:szCs w:val="24"/>
              </w:rPr>
            </w:pPr>
            <w:r>
              <w:rPr>
                <w:rFonts w:asciiTheme="minorHAnsi" w:hAnsiTheme="minorHAnsi" w:cstheme="minorHAnsi"/>
                <w:sz w:val="24"/>
                <w:szCs w:val="24"/>
              </w:rPr>
              <w:lastRenderedPageBreak/>
              <w:t xml:space="preserve">                                                                                                      </w:t>
            </w:r>
            <w:r w:rsidR="005B6469" w:rsidRPr="005B6469">
              <w:rPr>
                <w:rFonts w:asciiTheme="minorHAnsi" w:hAnsiTheme="minorHAnsi" w:cstheme="minorHAnsi"/>
                <w:sz w:val="24"/>
                <w:szCs w:val="24"/>
              </w:rPr>
              <w:t xml:space="preserve">Тактильная табличка должна содержать информацию, выполненную посредством рельефно-точечной системы </w:t>
            </w:r>
            <w:r w:rsidR="005B6469" w:rsidRPr="00CA235B">
              <w:rPr>
                <w:rFonts w:asciiTheme="minorHAnsi" w:hAnsiTheme="minorHAnsi" w:cstheme="minorHAnsi"/>
                <w:sz w:val="24"/>
                <w:szCs w:val="24"/>
              </w:rPr>
              <w:t xml:space="preserve">Брайля: </w:t>
            </w:r>
            <w:r w:rsidR="005B6469" w:rsidRPr="00672A89">
              <w:rPr>
                <w:rFonts w:asciiTheme="minorHAnsi" w:hAnsiTheme="minorHAnsi" w:cstheme="minorHAnsi"/>
                <w:i/>
                <w:iCs/>
                <w:sz w:val="24"/>
                <w:szCs w:val="24"/>
              </w:rPr>
              <w:t xml:space="preserve">«доступность </w:t>
            </w:r>
            <w:r w:rsidR="00D41D8B" w:rsidRPr="00672A89">
              <w:rPr>
                <w:rFonts w:asciiTheme="minorHAnsi" w:hAnsiTheme="minorHAnsi" w:cstheme="minorHAnsi"/>
                <w:i/>
                <w:iCs/>
                <w:sz w:val="24"/>
                <w:szCs w:val="24"/>
              </w:rPr>
              <w:t>для инвалидов по зрению и в креслах-колясках</w:t>
            </w:r>
            <w:r w:rsidR="005B6469" w:rsidRPr="00672A89">
              <w:rPr>
                <w:rFonts w:asciiTheme="minorHAnsi" w:hAnsiTheme="minorHAnsi" w:cstheme="minorHAnsi"/>
                <w:i/>
                <w:iCs/>
                <w:sz w:val="24"/>
                <w:szCs w:val="24"/>
              </w:rPr>
              <w:t xml:space="preserve">».                          </w:t>
            </w:r>
            <w:r w:rsidR="005949CB" w:rsidRPr="00672A89">
              <w:rPr>
                <w:rFonts w:asciiTheme="minorHAnsi" w:hAnsiTheme="minorHAnsi" w:cstheme="minorHAnsi"/>
                <w:i/>
                <w:iCs/>
                <w:sz w:val="24"/>
                <w:szCs w:val="24"/>
              </w:rPr>
              <w:t xml:space="preserve">                                                                                 </w:t>
            </w:r>
            <w:r w:rsidR="005B6469"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lastRenderedPageBreak/>
              <w:t>Требования к цветовому исполнению</w:t>
            </w:r>
          </w:p>
        </w:tc>
        <w:tc>
          <w:tcPr>
            <w:tcW w:w="6794" w:type="dxa"/>
            <w:shd w:val="clear" w:color="auto" w:fill="auto"/>
          </w:tcPr>
          <w:p w14:paraId="7DB232D3" w14:textId="0C5424CD"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«доступность для инвалидов по зрению» 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378FF9F3" w:rsidR="0058030E" w:rsidRPr="00586216" w:rsidRDefault="00D41D8B" w:rsidP="0058030E">
      <w:pPr>
        <w:rPr>
          <w:rFonts w:asciiTheme="minorHAnsi" w:hAnsiTheme="minorHAnsi" w:cstheme="minorHAnsi"/>
          <w:sz w:val="24"/>
          <w:szCs w:val="24"/>
        </w:rPr>
      </w:pPr>
      <w:r w:rsidRPr="00D41D8B">
        <w:rPr>
          <w:rFonts w:asciiTheme="minorHAnsi" w:hAnsiTheme="minorHAnsi" w:cstheme="minorHAnsi"/>
          <w:sz w:val="24"/>
          <w:szCs w:val="24"/>
        </w:rPr>
        <w:t>Пиктограмма тактильная, модульная "Доступность объектов для инвалидов по зрению и в креслах-колясках", с наклонным полем, двухсекционная, М5</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lastRenderedPageBreak/>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A31E3"/>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61AF8"/>
    <w:rsid w:val="00672A89"/>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96E76"/>
    <w:rsid w:val="00BA30A5"/>
    <w:rsid w:val="00BD2F43"/>
    <w:rsid w:val="00BD6261"/>
    <w:rsid w:val="00BF1878"/>
    <w:rsid w:val="00BF2DA7"/>
    <w:rsid w:val="00BF7C3A"/>
    <w:rsid w:val="00C01E4E"/>
    <w:rsid w:val="00C102CA"/>
    <w:rsid w:val="00C17D64"/>
    <w:rsid w:val="00C222ED"/>
    <w:rsid w:val="00C62781"/>
    <w:rsid w:val="00C927C2"/>
    <w:rsid w:val="00C96334"/>
    <w:rsid w:val="00CA150D"/>
    <w:rsid w:val="00CA235B"/>
    <w:rsid w:val="00CA5B7B"/>
    <w:rsid w:val="00CB68B9"/>
    <w:rsid w:val="00CC1659"/>
    <w:rsid w:val="00CC2514"/>
    <w:rsid w:val="00CC2D23"/>
    <w:rsid w:val="00CC3907"/>
    <w:rsid w:val="00CE0BFD"/>
    <w:rsid w:val="00CF160D"/>
    <w:rsid w:val="00D41D8B"/>
    <w:rsid w:val="00D64143"/>
    <w:rsid w:val="00D65163"/>
    <w:rsid w:val="00D90281"/>
    <w:rsid w:val="00D90777"/>
    <w:rsid w:val="00DB1BF5"/>
    <w:rsid w:val="00DC00ED"/>
    <w:rsid w:val="00DD3AC5"/>
    <w:rsid w:val="00DF08CB"/>
    <w:rsid w:val="00E21CD3"/>
    <w:rsid w:val="00E261E4"/>
    <w:rsid w:val="00E35225"/>
    <w:rsid w:val="00E361A1"/>
    <w:rsid w:val="00E4642F"/>
    <w:rsid w:val="00E5107D"/>
    <w:rsid w:val="00E57610"/>
    <w:rsid w:val="00E63228"/>
    <w:rsid w:val="00E66ABA"/>
    <w:rsid w:val="00E779DD"/>
    <w:rsid w:val="00E83259"/>
    <w:rsid w:val="00EA4955"/>
    <w:rsid w:val="00EA4FA0"/>
    <w:rsid w:val="00EA75A9"/>
    <w:rsid w:val="00EB2A50"/>
    <w:rsid w:val="00EB37BE"/>
    <w:rsid w:val="00EC7994"/>
    <w:rsid w:val="00ED243C"/>
    <w:rsid w:val="00ED3028"/>
    <w:rsid w:val="00ED3EE2"/>
    <w:rsid w:val="00ED533E"/>
    <w:rsid w:val="00EE4916"/>
    <w:rsid w:val="00F00386"/>
    <w:rsid w:val="00F01652"/>
    <w:rsid w:val="00F1477C"/>
    <w:rsid w:val="00F2175D"/>
    <w:rsid w:val="00F22015"/>
    <w:rsid w:val="00F733E3"/>
    <w:rsid w:val="00F75E3B"/>
    <w:rsid w:val="00F844CF"/>
    <w:rsid w:val="00F8518E"/>
    <w:rsid w:val="00FC194C"/>
    <w:rsid w:val="00FC2CA5"/>
    <w:rsid w:val="00FE18B3"/>
    <w:rsid w:val="00FE241F"/>
    <w:rsid w:val="00FE345A"/>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312">
      <w:bodyDiv w:val="1"/>
      <w:marLeft w:val="0"/>
      <w:marRight w:val="0"/>
      <w:marTop w:val="0"/>
      <w:marBottom w:val="0"/>
      <w:divBdr>
        <w:top w:val="none" w:sz="0" w:space="0" w:color="auto"/>
        <w:left w:val="none" w:sz="0" w:space="0" w:color="auto"/>
        <w:bottom w:val="none" w:sz="0" w:space="0" w:color="auto"/>
        <w:right w:val="none" w:sz="0" w:space="0" w:color="auto"/>
      </w:divBdr>
    </w:div>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6</cp:revision>
  <cp:lastPrinted>2017-09-21T07:53:00Z</cp:lastPrinted>
  <dcterms:created xsi:type="dcterms:W3CDTF">2023-07-21T11:25:00Z</dcterms:created>
  <dcterms:modified xsi:type="dcterms:W3CDTF">2023-07-25T06:03:00Z</dcterms:modified>
</cp:coreProperties>
</file>