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700CD99C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</w:t>
      </w:r>
      <w:r w:rsidR="000A2B4E">
        <w:rPr>
          <w:sz w:val="24"/>
          <w:szCs w:val="24"/>
        </w:rPr>
        <w:t>1-</w:t>
      </w:r>
      <w:r w:rsidR="009515EE">
        <w:rPr>
          <w:sz w:val="24"/>
          <w:szCs w:val="24"/>
        </w:rPr>
        <w:t>4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77D12796" w14:textId="77777777" w:rsidR="00026BF4" w:rsidRDefault="00026BF4" w:rsidP="000F6955">
      <w:pPr>
        <w:rPr>
          <w:sz w:val="24"/>
          <w:szCs w:val="24"/>
        </w:rPr>
      </w:pPr>
      <w:r w:rsidRPr="00026BF4">
        <w:rPr>
          <w:sz w:val="24"/>
          <w:szCs w:val="24"/>
        </w:rPr>
        <w:t xml:space="preserve">Поручень для туалета и ванной комнаты, настенный, опорный, прямой, с кронштейнами, М5, AL/PVC, </w:t>
      </w:r>
      <w:proofErr w:type="spellStart"/>
      <w:r w:rsidRPr="00026BF4">
        <w:rPr>
          <w:sz w:val="24"/>
          <w:szCs w:val="24"/>
        </w:rPr>
        <w:t>kit</w:t>
      </w:r>
      <w:proofErr w:type="spellEnd"/>
      <w:r w:rsidRPr="00026BF4">
        <w:rPr>
          <w:sz w:val="24"/>
          <w:szCs w:val="24"/>
        </w:rPr>
        <w:t xml:space="preserve"> комплект</w:t>
      </w:r>
    </w:p>
    <w:p w14:paraId="509B3FEE" w14:textId="0E6946E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4CEC964B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0A2B4E">
              <w:rPr>
                <w:sz w:val="24"/>
                <w:szCs w:val="24"/>
              </w:rPr>
              <w:t>прямолинейный поручень</w:t>
            </w:r>
            <w:r w:rsidR="004241B5">
              <w:rPr>
                <w:sz w:val="24"/>
                <w:szCs w:val="24"/>
              </w:rPr>
              <w:t xml:space="preserve">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B20176">
              <w:rPr>
                <w:sz w:val="24"/>
                <w:szCs w:val="24"/>
              </w:rPr>
              <w:t xml:space="preserve">                                             </w:t>
            </w:r>
            <w:r w:rsidR="004241B5">
              <w:rPr>
                <w:sz w:val="24"/>
                <w:szCs w:val="24"/>
              </w:rPr>
              <w:t xml:space="preserve"> </w:t>
            </w:r>
            <w:r w:rsidR="00D54F5F" w:rsidRPr="00D54F5F">
              <w:rPr>
                <w:sz w:val="24"/>
                <w:szCs w:val="24"/>
              </w:rPr>
              <w:t>Сборно-разборная конструкция поручня позволяет сэкономить на транспортных расходах.</w:t>
            </w:r>
            <w:r w:rsidR="00D54F5F">
              <w:rPr>
                <w:sz w:val="24"/>
                <w:szCs w:val="24"/>
              </w:rPr>
              <w:t xml:space="preserve">      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</w:t>
            </w:r>
            <w:r w:rsidR="00E34126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E34126" w:rsidRPr="00E34126">
              <w:rPr>
                <w:sz w:val="24"/>
                <w:szCs w:val="24"/>
              </w:rPr>
              <w:t xml:space="preserve">Сборка поручня осуществляется на месте посредством саморезов.                                                                                                   </w:t>
            </w:r>
            <w:r w:rsidR="00586A8A" w:rsidRPr="00586A8A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F84BFC">
              <w:rPr>
                <w:sz w:val="24"/>
                <w:szCs w:val="24"/>
              </w:rPr>
              <w:t>2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7850EAD3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0A2B4E">
              <w:rPr>
                <w:sz w:val="24"/>
                <w:szCs w:val="24"/>
              </w:rPr>
              <w:t>а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>,</w:t>
            </w:r>
            <w:r w:rsidR="00F83965">
              <w:rPr>
                <w:sz w:val="24"/>
                <w:szCs w:val="24"/>
              </w:rPr>
              <w:t xml:space="preserve"> соединительные </w:t>
            </w:r>
            <w:r w:rsidR="009773C3">
              <w:rPr>
                <w:sz w:val="24"/>
                <w:szCs w:val="24"/>
              </w:rPr>
              <w:t>элементы, кронштейны</w:t>
            </w:r>
            <w:r w:rsidR="006358D2">
              <w:rPr>
                <w:sz w:val="24"/>
                <w:szCs w:val="24"/>
              </w:rPr>
              <w:t xml:space="preserve">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</w:t>
            </w:r>
            <w:r w:rsidRPr="008657C0">
              <w:rPr>
                <w:sz w:val="24"/>
                <w:szCs w:val="24"/>
              </w:rPr>
              <w:lastRenderedPageBreak/>
              <w:t>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675E6899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0A2B4E">
              <w:rPr>
                <w:sz w:val="24"/>
                <w:szCs w:val="24"/>
              </w:rPr>
              <w:t>ого</w:t>
            </w:r>
            <w:r w:rsidR="00C40EAF">
              <w:rPr>
                <w:sz w:val="24"/>
                <w:szCs w:val="24"/>
              </w:rPr>
              <w:t xml:space="preserve"> элемен</w:t>
            </w:r>
            <w:r w:rsidR="000A2B4E">
              <w:rPr>
                <w:sz w:val="24"/>
                <w:szCs w:val="24"/>
              </w:rPr>
              <w:t>та</w:t>
            </w:r>
            <w:r w:rsidR="00F373F8">
              <w:rPr>
                <w:sz w:val="24"/>
                <w:szCs w:val="24"/>
              </w:rPr>
              <w:t xml:space="preserve">, </w:t>
            </w:r>
            <w:r w:rsidR="00F84BFC">
              <w:rPr>
                <w:sz w:val="24"/>
                <w:szCs w:val="24"/>
              </w:rPr>
              <w:t>2</w:t>
            </w:r>
            <w:r w:rsidR="000A2B4E">
              <w:rPr>
                <w:sz w:val="24"/>
                <w:szCs w:val="24"/>
              </w:rPr>
              <w:t xml:space="preserve">-х опор и 2-х окончаний. 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0A87694D" w14:textId="35AC1A37" w:rsidR="00827067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  <w:r w:rsidR="00B627C2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28E07E5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862B653" w14:textId="1324A65B" w:rsidR="009D172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27067">
              <w:rPr>
                <w:sz w:val="24"/>
                <w:szCs w:val="24"/>
              </w:rPr>
              <w:t xml:space="preserve">Конструктивно опорный элемент состоит из кронштейна и фланца, выполненных из твердого ПВХ. Для обеспечения прочного монтажа и устойчивости к нагрузкам, толщина монтажного фланца должна быть не менее 5 мм, диаметр не менее 75 мм. 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    </w:t>
            </w:r>
          </w:p>
          <w:p w14:paraId="4ED33608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16163C25" w:rsidR="00F2436F" w:rsidRDefault="000D381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информирования людей о завершении поручня, а также для исключения травмирования, прямой элемент должен быть оборудован окончаниями. </w:t>
            </w:r>
            <w:r w:rsidR="000C2EBC">
              <w:rPr>
                <w:sz w:val="24"/>
                <w:szCs w:val="24"/>
              </w:rPr>
              <w:t>Окончани</w:t>
            </w:r>
            <w:r w:rsidR="000A2B4E">
              <w:rPr>
                <w:sz w:val="24"/>
                <w:szCs w:val="24"/>
              </w:rPr>
              <w:t xml:space="preserve">е поручня </w:t>
            </w:r>
            <w:r w:rsidR="00F83965">
              <w:rPr>
                <w:sz w:val="24"/>
                <w:szCs w:val="24"/>
              </w:rPr>
              <w:t>представляет</w:t>
            </w:r>
            <w:r w:rsidR="00380B2F">
              <w:rPr>
                <w:sz w:val="24"/>
                <w:szCs w:val="24"/>
              </w:rPr>
              <w:t xml:space="preserve"> собой </w:t>
            </w:r>
            <w:r>
              <w:rPr>
                <w:sz w:val="24"/>
                <w:szCs w:val="24"/>
              </w:rPr>
              <w:t>цельнолитое изделие из твердого ПВХ, круглой формы</w:t>
            </w:r>
            <w:r w:rsidR="00380B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предполагающей присоединение как с левой, так и справой стороны поручня.</w:t>
            </w:r>
            <w:r w:rsidR="00F83965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 с поручнем</w:t>
            </w:r>
            <w:r w:rsidR="003B558D">
              <w:rPr>
                <w:sz w:val="24"/>
                <w:szCs w:val="24"/>
              </w:rPr>
              <w:t xml:space="preserve">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</w:t>
            </w:r>
            <w:r w:rsidR="000A2B4E"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элемент</w:t>
            </w:r>
            <w:r w:rsidR="000A2B4E">
              <w:rPr>
                <w:sz w:val="24"/>
                <w:szCs w:val="24"/>
              </w:rPr>
              <w:t>а</w:t>
            </w:r>
            <w:r w:rsidR="003B558D">
              <w:rPr>
                <w:sz w:val="24"/>
                <w:szCs w:val="24"/>
              </w:rPr>
              <w:t>, выполненн</w:t>
            </w:r>
            <w:r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из твердого ВПХ</w:t>
            </w:r>
            <w:r>
              <w:rPr>
                <w:sz w:val="24"/>
                <w:szCs w:val="24"/>
              </w:rPr>
              <w:t xml:space="preserve">. </w:t>
            </w:r>
            <w:r w:rsidR="00174528">
              <w:rPr>
                <w:sz w:val="24"/>
                <w:szCs w:val="24"/>
              </w:rPr>
              <w:t>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54D462B5" w:rsidR="002436AA" w:rsidRPr="001A0FD4" w:rsidRDefault="00F83965" w:rsidP="000F6955">
            <w:pPr>
              <w:rPr>
                <w:sz w:val="24"/>
                <w:szCs w:val="24"/>
              </w:rPr>
            </w:pPr>
            <w:r w:rsidRPr="00F8396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глубина не менее </w:t>
            </w:r>
            <w:r>
              <w:rPr>
                <w:sz w:val="24"/>
                <w:szCs w:val="24"/>
              </w:rPr>
              <w:t xml:space="preserve">               97 мм</w:t>
            </w:r>
            <w:r w:rsidRPr="00F83965">
              <w:rPr>
                <w:sz w:val="24"/>
                <w:szCs w:val="24"/>
              </w:rPr>
              <w:t xml:space="preserve">, ширина не менее </w:t>
            </w:r>
            <w:r w:rsidR="009515EE">
              <w:rPr>
                <w:sz w:val="24"/>
                <w:szCs w:val="24"/>
              </w:rPr>
              <w:t>8</w:t>
            </w:r>
            <w:r w:rsidRPr="00F83965">
              <w:rPr>
                <w:sz w:val="24"/>
                <w:szCs w:val="24"/>
              </w:rPr>
              <w:t>00 мм (без учета выступающих крепежных элементов).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A47B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оступный отступ от стены должен быть не менее 60</w:t>
            </w:r>
            <w:r w:rsidR="00BA4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0E1BCC6B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03F85E19" w:rsidR="00A8419B" w:rsidRPr="00A8419B" w:rsidRDefault="00026BF4" w:rsidP="00A8419B">
      <w:pPr>
        <w:rPr>
          <w:bCs/>
          <w:sz w:val="24"/>
          <w:szCs w:val="24"/>
        </w:rPr>
      </w:pPr>
      <w:r w:rsidRPr="00026BF4">
        <w:rPr>
          <w:bCs/>
          <w:sz w:val="24"/>
          <w:szCs w:val="24"/>
        </w:rPr>
        <w:t xml:space="preserve">Поручень для туалета и ванной комнаты, настенный, опорный, прямой, с кронштейнами, М5, AL/PVC, </w:t>
      </w:r>
      <w:proofErr w:type="spellStart"/>
      <w:r w:rsidRPr="00026BF4">
        <w:rPr>
          <w:bCs/>
          <w:sz w:val="24"/>
          <w:szCs w:val="24"/>
        </w:rPr>
        <w:t>kit</w:t>
      </w:r>
      <w:proofErr w:type="spellEnd"/>
      <w:r w:rsidRPr="00026BF4">
        <w:rPr>
          <w:bCs/>
          <w:sz w:val="24"/>
          <w:szCs w:val="24"/>
        </w:rPr>
        <w:t xml:space="preserve"> комплект</w:t>
      </w:r>
      <w:r w:rsidRPr="00026BF4">
        <w:rPr>
          <w:bCs/>
          <w:sz w:val="24"/>
          <w:szCs w:val="24"/>
        </w:rPr>
        <w:t xml:space="preserve"> </w:t>
      </w:r>
      <w:r w:rsidR="00A8419B" w:rsidRPr="00026BF4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6BF4"/>
    <w:rsid w:val="00034695"/>
    <w:rsid w:val="00035573"/>
    <w:rsid w:val="000449E8"/>
    <w:rsid w:val="000514F3"/>
    <w:rsid w:val="00070352"/>
    <w:rsid w:val="000A2B4E"/>
    <w:rsid w:val="000C2EBC"/>
    <w:rsid w:val="000D3819"/>
    <w:rsid w:val="000D774F"/>
    <w:rsid w:val="000E1C93"/>
    <w:rsid w:val="000F6955"/>
    <w:rsid w:val="001240F0"/>
    <w:rsid w:val="001435CF"/>
    <w:rsid w:val="001443B0"/>
    <w:rsid w:val="001477BF"/>
    <w:rsid w:val="00150269"/>
    <w:rsid w:val="0015267B"/>
    <w:rsid w:val="00165981"/>
    <w:rsid w:val="00174528"/>
    <w:rsid w:val="001A0FD4"/>
    <w:rsid w:val="001C6033"/>
    <w:rsid w:val="001C708F"/>
    <w:rsid w:val="00225996"/>
    <w:rsid w:val="00235CDB"/>
    <w:rsid w:val="002436AA"/>
    <w:rsid w:val="00297E1D"/>
    <w:rsid w:val="002A0CC1"/>
    <w:rsid w:val="002C1608"/>
    <w:rsid w:val="002D350B"/>
    <w:rsid w:val="002F0746"/>
    <w:rsid w:val="002F2DDB"/>
    <w:rsid w:val="00326F92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A76D2"/>
    <w:rsid w:val="004D16E2"/>
    <w:rsid w:val="004E6F08"/>
    <w:rsid w:val="005146C2"/>
    <w:rsid w:val="00531150"/>
    <w:rsid w:val="0054129A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74E54"/>
    <w:rsid w:val="006849AF"/>
    <w:rsid w:val="00703B9F"/>
    <w:rsid w:val="00783E5D"/>
    <w:rsid w:val="00794FFC"/>
    <w:rsid w:val="00797B59"/>
    <w:rsid w:val="007C33E0"/>
    <w:rsid w:val="007C5496"/>
    <w:rsid w:val="007E2F0D"/>
    <w:rsid w:val="00827067"/>
    <w:rsid w:val="008657C0"/>
    <w:rsid w:val="00883B0B"/>
    <w:rsid w:val="00895343"/>
    <w:rsid w:val="008A3833"/>
    <w:rsid w:val="008A6A26"/>
    <w:rsid w:val="008C3551"/>
    <w:rsid w:val="009515EE"/>
    <w:rsid w:val="00957E43"/>
    <w:rsid w:val="009773C3"/>
    <w:rsid w:val="009D1727"/>
    <w:rsid w:val="009E3657"/>
    <w:rsid w:val="009F3471"/>
    <w:rsid w:val="00A026B5"/>
    <w:rsid w:val="00A110F2"/>
    <w:rsid w:val="00A16E4F"/>
    <w:rsid w:val="00A2473F"/>
    <w:rsid w:val="00A62D64"/>
    <w:rsid w:val="00A72180"/>
    <w:rsid w:val="00A83025"/>
    <w:rsid w:val="00A83D80"/>
    <w:rsid w:val="00A8419B"/>
    <w:rsid w:val="00A8739E"/>
    <w:rsid w:val="00AA5F94"/>
    <w:rsid w:val="00AB09C1"/>
    <w:rsid w:val="00B20176"/>
    <w:rsid w:val="00B413E8"/>
    <w:rsid w:val="00B54649"/>
    <w:rsid w:val="00B627C2"/>
    <w:rsid w:val="00B77B2E"/>
    <w:rsid w:val="00B80D9C"/>
    <w:rsid w:val="00BA0878"/>
    <w:rsid w:val="00BA47BD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4F5F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EA4"/>
    <w:rsid w:val="00E34126"/>
    <w:rsid w:val="00E564DC"/>
    <w:rsid w:val="00E566F7"/>
    <w:rsid w:val="00E60BF0"/>
    <w:rsid w:val="00E630AB"/>
    <w:rsid w:val="00E753AF"/>
    <w:rsid w:val="00EA4C6C"/>
    <w:rsid w:val="00EA59DB"/>
    <w:rsid w:val="00F10B0D"/>
    <w:rsid w:val="00F1490E"/>
    <w:rsid w:val="00F2436F"/>
    <w:rsid w:val="00F373F8"/>
    <w:rsid w:val="00F443BA"/>
    <w:rsid w:val="00F76734"/>
    <w:rsid w:val="00F83965"/>
    <w:rsid w:val="00F84BFC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2023-05-18T11:53:00Z</dcterms:created>
  <dcterms:modified xsi:type="dcterms:W3CDTF">2023-05-29T13:11:00Z</dcterms:modified>
  <dc:language>ru-RU</dc:language>
</cp:coreProperties>
</file>