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4A2C76EE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237A4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02</w:t>
      </w:r>
      <w:r w:rsidR="00144C57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9</w:t>
      </w:r>
      <w:r w:rsidR="00977C9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-1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66FD3F4E" w14:textId="77777777" w:rsidR="00977C95" w:rsidRDefault="00977C95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977C95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опорный, П-образный, напольный, левый, сталь, D38 мм</w:t>
      </w:r>
    </w:p>
    <w:p w14:paraId="38D639EF" w14:textId="1F78590E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14040F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2BB90F6F" w14:textId="461C776D" w:rsidR="00CD5008" w:rsidRPr="002902CB" w:rsidRDefault="00DB5445" w:rsidP="0014040F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 виду того, что поручень испытывает консольную нагрузку, устройства с креплением к полу являются более надёжными, чем опорные устройства с креплением к стене. </w:t>
            </w:r>
            <w:r w:rsidR="0014040F">
              <w:rPr>
                <w:rFonts w:cs="Calibri"/>
                <w:sz w:val="24"/>
                <w:szCs w:val="24"/>
              </w:rPr>
              <w:t xml:space="preserve">                                                                            </w:t>
            </w:r>
            <w:r w:rsidRPr="00DB5445">
              <w:rPr>
                <w:rFonts w:cs="Calibri"/>
                <w:sz w:val="24"/>
                <w:szCs w:val="24"/>
              </w:rPr>
              <w:t>Поручень выполнен из цельной трубы диаметром 38 мм, не имеет видимых швов и соединений и является полностью травмобезопасным.</w:t>
            </w:r>
            <w:r w:rsidR="0014040F">
              <w:rPr>
                <w:rFonts w:cs="Calibri"/>
                <w:sz w:val="24"/>
                <w:szCs w:val="24"/>
              </w:rPr>
              <w:t xml:space="preserve">                                              </w:t>
            </w:r>
            <w:r w:rsidRPr="00DB5445">
              <w:rPr>
                <w:rFonts w:cs="Calibri"/>
                <w:sz w:val="24"/>
                <w:szCs w:val="24"/>
              </w:rPr>
              <w:t xml:space="preserve"> </w:t>
            </w:r>
            <w:r w:rsidR="0014040F">
              <w:rPr>
                <w:rFonts w:cs="Calibri"/>
                <w:sz w:val="24"/>
                <w:szCs w:val="24"/>
              </w:rPr>
              <w:t xml:space="preserve">                                </w:t>
            </w:r>
            <w:r w:rsidR="0014040F" w:rsidRPr="0014040F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14040F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42621F2F" w:rsidR="00DA59C3" w:rsidRPr="002902CB" w:rsidRDefault="00237A45" w:rsidP="002902CB">
            <w:pPr>
              <w:rPr>
                <w:rFonts w:cs="Calibri"/>
                <w:sz w:val="24"/>
                <w:szCs w:val="24"/>
              </w:rPr>
            </w:pPr>
            <w:r w:rsidRPr="00237A45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14040F">
              <w:rPr>
                <w:sz w:val="24"/>
                <w:szCs w:val="24"/>
              </w:rPr>
              <w:t xml:space="preserve"> мкм</w:t>
            </w:r>
            <w:r w:rsidRPr="00237A45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14040F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31D2B546" w14:textId="16FE045F" w:rsidR="00CD5008" w:rsidRPr="002902CB" w:rsidRDefault="0056116C" w:rsidP="002902CB">
            <w:pPr>
              <w:rPr>
                <w:rFonts w:cs="Calibri"/>
                <w:sz w:val="24"/>
                <w:szCs w:val="24"/>
              </w:rPr>
            </w:pPr>
            <w:r>
              <w:t xml:space="preserve"> </w:t>
            </w:r>
            <w:r w:rsidRPr="0056116C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37 мм и не более 4</w:t>
            </w:r>
            <w:r w:rsidR="00237A45">
              <w:rPr>
                <w:rFonts w:cs="Calibri"/>
                <w:sz w:val="24"/>
                <w:szCs w:val="24"/>
              </w:rPr>
              <w:t>0</w:t>
            </w:r>
            <w:r w:rsidR="0014040F">
              <w:rPr>
                <w:rFonts w:cs="Calibri"/>
                <w:sz w:val="24"/>
                <w:szCs w:val="24"/>
              </w:rPr>
              <w:t xml:space="preserve"> </w:t>
            </w:r>
            <w:r w:rsidRPr="0056116C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Pr="0056116C">
              <w:rPr>
                <w:rFonts w:cs="Calibri"/>
                <w:sz w:val="24"/>
                <w:szCs w:val="24"/>
              </w:rPr>
              <w:t xml:space="preserve">Примыкания труб под 90 </w:t>
            </w:r>
            <w:proofErr w:type="spellStart"/>
            <w:r w:rsidRPr="0056116C">
              <w:rPr>
                <w:rFonts w:cs="Calibri"/>
                <w:sz w:val="24"/>
                <w:szCs w:val="24"/>
              </w:rPr>
              <w:t>гр</w:t>
            </w:r>
            <w:proofErr w:type="spellEnd"/>
            <w:r w:rsidRPr="0056116C">
              <w:rPr>
                <w:rFonts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</w:t>
            </w:r>
            <w:r w:rsidR="0014040F">
              <w:rPr>
                <w:rFonts w:cs="Calibri"/>
                <w:sz w:val="24"/>
                <w:szCs w:val="24"/>
              </w:rPr>
              <w:t xml:space="preserve"> </w:t>
            </w:r>
            <w:r w:rsidRPr="0056116C">
              <w:rPr>
                <w:rFonts w:cs="Calibri"/>
                <w:sz w:val="24"/>
                <w:szCs w:val="24"/>
              </w:rPr>
              <w:t>мм.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14040F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31C39D4E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4C0191">
              <w:rPr>
                <w:sz w:val="24"/>
                <w:szCs w:val="24"/>
              </w:rPr>
              <w:t xml:space="preserve">: высота не </w:t>
            </w:r>
            <w:r w:rsidR="00144C57">
              <w:rPr>
                <w:sz w:val="24"/>
                <w:szCs w:val="24"/>
              </w:rPr>
              <w:t>менее</w:t>
            </w:r>
            <w:r w:rsidR="00755F02">
              <w:rPr>
                <w:sz w:val="24"/>
                <w:szCs w:val="24"/>
              </w:rPr>
              <w:t xml:space="preserve"> </w:t>
            </w:r>
            <w:r w:rsidR="00755F02" w:rsidRPr="00A50BF2">
              <w:rPr>
                <w:rFonts w:cs="Calibri"/>
                <w:sz w:val="24"/>
                <w:szCs w:val="24"/>
              </w:rPr>
              <w:t>8</w:t>
            </w:r>
            <w:r w:rsidR="00144C57">
              <w:rPr>
                <w:rFonts w:cs="Calibri"/>
                <w:sz w:val="24"/>
                <w:szCs w:val="24"/>
              </w:rPr>
              <w:t>0</w:t>
            </w:r>
            <w:r w:rsidR="00755F02" w:rsidRPr="00A50BF2">
              <w:rPr>
                <w:rFonts w:cs="Calibri"/>
                <w:sz w:val="24"/>
                <w:szCs w:val="24"/>
              </w:rPr>
              <w:t>0</w:t>
            </w:r>
            <w:r w:rsidR="0014040F">
              <w:rPr>
                <w:rFonts w:cs="Calibri"/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ширина </w:t>
            </w:r>
            <w:r w:rsidR="00755F02">
              <w:rPr>
                <w:rFonts w:cs="Calibri"/>
                <w:sz w:val="24"/>
                <w:szCs w:val="24"/>
              </w:rPr>
              <w:t xml:space="preserve">не </w:t>
            </w:r>
            <w:r w:rsidR="00144C57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144C57">
              <w:rPr>
                <w:rFonts w:cs="Calibri"/>
                <w:sz w:val="24"/>
                <w:szCs w:val="24"/>
              </w:rPr>
              <w:t>6</w:t>
            </w:r>
            <w:r w:rsidR="00755F02">
              <w:rPr>
                <w:rFonts w:cs="Calibri"/>
                <w:sz w:val="24"/>
                <w:szCs w:val="24"/>
              </w:rPr>
              <w:t>5</w:t>
            </w:r>
            <w:r w:rsidR="00962CB5" w:rsidRPr="00962CB5">
              <w:rPr>
                <w:rFonts w:cs="Calibri"/>
                <w:sz w:val="24"/>
                <w:szCs w:val="24"/>
              </w:rPr>
              <w:t>0</w:t>
            </w:r>
            <w:r w:rsidR="0014040F">
              <w:rPr>
                <w:rFonts w:cs="Calibri"/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>мм, глубина не</w:t>
            </w:r>
            <w:r w:rsidR="00144C57">
              <w:rPr>
                <w:rFonts w:cs="Calibri"/>
                <w:sz w:val="24"/>
                <w:szCs w:val="24"/>
              </w:rPr>
              <w:t xml:space="preserve"> 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1</w:t>
            </w:r>
            <w:r w:rsidR="00755F02">
              <w:rPr>
                <w:rFonts w:cs="Calibri"/>
                <w:sz w:val="24"/>
                <w:szCs w:val="24"/>
              </w:rPr>
              <w:t>8</w:t>
            </w:r>
            <w:r w:rsidR="00962CB5" w:rsidRPr="00962CB5">
              <w:rPr>
                <w:rFonts w:cs="Calibri"/>
                <w:sz w:val="24"/>
                <w:szCs w:val="24"/>
              </w:rPr>
              <w:t>0</w:t>
            </w:r>
            <w:r w:rsidR="0014040F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lastRenderedPageBreak/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237A45" w:rsidRPr="002902CB" w14:paraId="5301BDD5" w14:textId="77777777" w:rsidTr="0014040F">
        <w:tc>
          <w:tcPr>
            <w:tcW w:w="2982" w:type="dxa"/>
            <w:shd w:val="clear" w:color="auto" w:fill="auto"/>
          </w:tcPr>
          <w:p w14:paraId="74259B80" w14:textId="5F75C108" w:rsidR="00237A45" w:rsidRPr="00237A45" w:rsidRDefault="00237A45" w:rsidP="00237A45">
            <w:pPr>
              <w:rPr>
                <w:sz w:val="24"/>
                <w:szCs w:val="24"/>
              </w:rPr>
            </w:pPr>
            <w:r w:rsidRPr="00237A45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387691E7" w:rsidR="00237A45" w:rsidRPr="00237A45" w:rsidRDefault="00237A45" w:rsidP="00237A45">
            <w:pPr>
              <w:rPr>
                <w:rFonts w:cs="Calibri"/>
                <w:sz w:val="24"/>
                <w:szCs w:val="24"/>
              </w:rPr>
            </w:pPr>
            <w:r w:rsidRPr="00237A45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14040F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1B6E1EA0" w14:textId="71FD6D87" w:rsidR="002902CB" w:rsidRPr="002902CB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</w:t>
            </w:r>
            <w:r w:rsidR="00237A45">
              <w:rPr>
                <w:rFonts w:cs="Calibri"/>
                <w:sz w:val="24"/>
                <w:szCs w:val="24"/>
              </w:rPr>
              <w:t xml:space="preserve"> </w:t>
            </w:r>
            <w:r w:rsidRPr="002902CB">
              <w:rPr>
                <w:rFonts w:cs="Calibri"/>
                <w:sz w:val="24"/>
                <w:szCs w:val="24"/>
              </w:rPr>
              <w:t xml:space="preserve">стали </w:t>
            </w:r>
            <w:r w:rsidR="00237A45">
              <w:rPr>
                <w:rFonts w:cs="Calibri"/>
                <w:sz w:val="24"/>
                <w:szCs w:val="24"/>
              </w:rPr>
              <w:t xml:space="preserve">марки </w:t>
            </w:r>
            <w:r w:rsidRPr="002902CB">
              <w:rPr>
                <w:rFonts w:cs="Calibri"/>
                <w:sz w:val="24"/>
                <w:szCs w:val="24"/>
              </w:rPr>
              <w:t xml:space="preserve">не ниже </w:t>
            </w:r>
            <w:r w:rsidR="00237A45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14040F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</w:tc>
      </w:tr>
      <w:tr w:rsidR="00CD5008" w:rsidRPr="002902CB" w14:paraId="24A4DB03" w14:textId="77777777" w:rsidTr="0014040F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02732F" w:rsidR="00CD5008" w:rsidRPr="002902CB" w:rsidRDefault="00237A45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37A45" w:rsidRPr="002902CB" w14:paraId="48E2BA65" w14:textId="77777777" w:rsidTr="0014040F">
        <w:tc>
          <w:tcPr>
            <w:tcW w:w="2982" w:type="dxa"/>
            <w:shd w:val="clear" w:color="auto" w:fill="auto"/>
          </w:tcPr>
          <w:p w14:paraId="5A396632" w14:textId="4A8AA9AF" w:rsidR="00237A45" w:rsidRPr="00237A45" w:rsidRDefault="00237A45" w:rsidP="00237A45">
            <w:pPr>
              <w:rPr>
                <w:sz w:val="24"/>
                <w:szCs w:val="24"/>
              </w:rPr>
            </w:pPr>
            <w:r w:rsidRPr="00237A45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67126CBF" w14:textId="449C7857" w:rsidR="00237A45" w:rsidRPr="00237A45" w:rsidRDefault="00237A45" w:rsidP="00237A45">
            <w:pPr>
              <w:rPr>
                <w:rFonts w:cs="Calibri"/>
                <w:sz w:val="24"/>
                <w:szCs w:val="24"/>
              </w:rPr>
            </w:pPr>
            <w:r w:rsidRPr="00237A45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14040F">
        <w:tc>
          <w:tcPr>
            <w:tcW w:w="2982" w:type="dxa"/>
            <w:shd w:val="clear" w:color="auto" w:fill="auto"/>
          </w:tcPr>
          <w:p w14:paraId="4486AF03" w14:textId="166476F9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14040F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9364FB4" w:rsidR="00CD5008" w:rsidRPr="002902CB" w:rsidRDefault="00237A45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14040F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3A004F6" w14:textId="77777777" w:rsidR="00977C95" w:rsidRDefault="00977C95" w:rsidP="002902CB">
      <w:pPr>
        <w:rPr>
          <w:b/>
          <w:sz w:val="24"/>
          <w:szCs w:val="24"/>
        </w:rPr>
      </w:pPr>
    </w:p>
    <w:p w14:paraId="26AFB4D0" w14:textId="37640852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5724D74C" w:rsidR="002902CB" w:rsidRPr="008504AD" w:rsidRDefault="00977C95" w:rsidP="002902CB">
      <w:pPr>
        <w:rPr>
          <w:sz w:val="24"/>
          <w:szCs w:val="24"/>
        </w:rPr>
      </w:pPr>
      <w:r w:rsidRPr="00977C95">
        <w:rPr>
          <w:sz w:val="24"/>
          <w:szCs w:val="24"/>
        </w:rPr>
        <w:t>Поручень опорный, П-образный, напольный, левый, сталь, D38 мм</w:t>
      </w:r>
      <w:r>
        <w:rPr>
          <w:sz w:val="24"/>
          <w:szCs w:val="24"/>
        </w:rPr>
        <w:t xml:space="preserve"> - </w:t>
      </w:r>
      <w:r w:rsidR="002902CB" w:rsidRPr="008504AD">
        <w:rPr>
          <w:sz w:val="24"/>
          <w:szCs w:val="24"/>
        </w:rPr>
        <w:t>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5CF17D62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 xml:space="preserve">Гарантийные обязательства не </w:t>
      </w:r>
      <w:r w:rsidR="00977C95">
        <w:rPr>
          <w:sz w:val="24"/>
          <w:szCs w:val="24"/>
        </w:rPr>
        <w:t>более</w:t>
      </w:r>
      <w:r w:rsidRPr="008504AD">
        <w:rPr>
          <w:sz w:val="24"/>
          <w:szCs w:val="24"/>
        </w:rPr>
        <w:t xml:space="preserve"> 2</w:t>
      </w:r>
      <w:r w:rsidR="00977C95">
        <w:rPr>
          <w:sz w:val="24"/>
          <w:szCs w:val="24"/>
        </w:rPr>
        <w:t>-</w:t>
      </w:r>
      <w:r w:rsidRPr="008504AD">
        <w:rPr>
          <w:sz w:val="24"/>
          <w:szCs w:val="24"/>
        </w:rPr>
        <w:t>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34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4040F"/>
    <w:rsid w:val="00144C57"/>
    <w:rsid w:val="00150466"/>
    <w:rsid w:val="001B57A9"/>
    <w:rsid w:val="00202C60"/>
    <w:rsid w:val="00237A45"/>
    <w:rsid w:val="00247D13"/>
    <w:rsid w:val="002902CB"/>
    <w:rsid w:val="003B0B5B"/>
    <w:rsid w:val="003B3E71"/>
    <w:rsid w:val="00405ED5"/>
    <w:rsid w:val="00420AEE"/>
    <w:rsid w:val="00434FD9"/>
    <w:rsid w:val="004C0191"/>
    <w:rsid w:val="005156B0"/>
    <w:rsid w:val="00560C86"/>
    <w:rsid w:val="0056116C"/>
    <w:rsid w:val="005C2DD4"/>
    <w:rsid w:val="005C6880"/>
    <w:rsid w:val="00753109"/>
    <w:rsid w:val="00755F02"/>
    <w:rsid w:val="007935F8"/>
    <w:rsid w:val="00832E68"/>
    <w:rsid w:val="008F6632"/>
    <w:rsid w:val="0091572F"/>
    <w:rsid w:val="00951B76"/>
    <w:rsid w:val="00953D42"/>
    <w:rsid w:val="00962CB5"/>
    <w:rsid w:val="00977C95"/>
    <w:rsid w:val="009A3F89"/>
    <w:rsid w:val="00A50BF2"/>
    <w:rsid w:val="00A65ACB"/>
    <w:rsid w:val="00AA0A64"/>
    <w:rsid w:val="00B11BCE"/>
    <w:rsid w:val="00CD2051"/>
    <w:rsid w:val="00CD5008"/>
    <w:rsid w:val="00DA59C3"/>
    <w:rsid w:val="00DB5445"/>
    <w:rsid w:val="00E54564"/>
    <w:rsid w:val="00E87478"/>
    <w:rsid w:val="00E87723"/>
    <w:rsid w:val="00ED6DE4"/>
    <w:rsid w:val="00EF2381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3</cp:revision>
  <dcterms:created xsi:type="dcterms:W3CDTF">2023-05-25T12:32:00Z</dcterms:created>
  <dcterms:modified xsi:type="dcterms:W3CDTF">2023-05-25T12:35:00Z</dcterms:modified>
</cp:coreProperties>
</file>