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3863BE1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C936C1">
        <w:rPr>
          <w:sz w:val="24"/>
          <w:szCs w:val="24"/>
        </w:rPr>
        <w:t>1</w:t>
      </w:r>
      <w:r w:rsidR="00DA670C">
        <w:rPr>
          <w:sz w:val="24"/>
          <w:szCs w:val="24"/>
        </w:rPr>
        <w:t>30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2A3BB93" w14:textId="77777777" w:rsidR="000B213F" w:rsidRDefault="000B213F" w:rsidP="000F6955">
      <w:pPr>
        <w:rPr>
          <w:sz w:val="24"/>
          <w:szCs w:val="24"/>
        </w:rPr>
      </w:pPr>
      <w:r w:rsidRPr="000B213F">
        <w:rPr>
          <w:sz w:val="24"/>
          <w:szCs w:val="24"/>
        </w:rPr>
        <w:t>Поручень опорный, двойной, настенно-напольный, нержавеющая сталь с полиамидными окончаниями, D32 мм</w:t>
      </w:r>
    </w:p>
    <w:p w14:paraId="509B3FEE" w14:textId="3362715D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3388B15C" w14:textId="77777777" w:rsidR="000B213F" w:rsidRDefault="000B213F" w:rsidP="000F6955">
      <w:pPr>
        <w:rPr>
          <w:sz w:val="24"/>
          <w:szCs w:val="24"/>
        </w:rPr>
      </w:pPr>
      <w:r w:rsidRPr="000B213F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Рекомендован к применению ВОС, гос. программой "Доступная среда".</w:t>
      </w:r>
    </w:p>
    <w:p w14:paraId="0F5E4FD0" w14:textId="6497EDBF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752537EC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723F73">
              <w:rPr>
                <w:sz w:val="24"/>
                <w:szCs w:val="24"/>
              </w:rPr>
              <w:t xml:space="preserve">Крепление поручня к </w:t>
            </w:r>
            <w:r w:rsidR="00DA670C">
              <w:rPr>
                <w:sz w:val="24"/>
                <w:szCs w:val="24"/>
              </w:rPr>
              <w:t xml:space="preserve">стене и </w:t>
            </w:r>
            <w:r w:rsidR="00723F73">
              <w:rPr>
                <w:sz w:val="24"/>
                <w:szCs w:val="24"/>
              </w:rPr>
              <w:t>пол</w:t>
            </w:r>
            <w:r w:rsidR="000B213F">
              <w:rPr>
                <w:sz w:val="24"/>
                <w:szCs w:val="24"/>
              </w:rPr>
              <w:t>у</w:t>
            </w:r>
            <w:r w:rsidR="00723F73">
              <w:rPr>
                <w:sz w:val="24"/>
                <w:szCs w:val="24"/>
              </w:rPr>
              <w:t xml:space="preserve">, обеспечивает </w:t>
            </w:r>
            <w:r w:rsidR="0058594F" w:rsidRPr="0058594F">
              <w:rPr>
                <w:sz w:val="24"/>
                <w:szCs w:val="24"/>
              </w:rPr>
              <w:t>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  <w:r w:rsidR="008F1FD9" w:rsidRPr="008F1FD9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7147A5B3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8F1FD9">
              <w:rPr>
                <w:sz w:val="24"/>
                <w:szCs w:val="24"/>
              </w:rPr>
              <w:t>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2AF63EBD" w:rsidR="006A3771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A17A7"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 w:rsidRPr="005A17A7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5A17A7">
              <w:rPr>
                <w:sz w:val="24"/>
                <w:szCs w:val="24"/>
              </w:rPr>
              <w:t xml:space="preserve">, состоящую из элементов металлических труб, в количестве </w:t>
            </w:r>
            <w:r w:rsidR="00DA670C" w:rsidRPr="005A17A7">
              <w:rPr>
                <w:sz w:val="24"/>
                <w:szCs w:val="24"/>
              </w:rPr>
              <w:t>7ми</w:t>
            </w:r>
            <w:r w:rsidR="006A3771" w:rsidRPr="005A17A7">
              <w:rPr>
                <w:sz w:val="24"/>
                <w:szCs w:val="24"/>
              </w:rPr>
              <w:t xml:space="preserve"> штук, соединённых посредством </w:t>
            </w:r>
            <w:r w:rsidR="00DA670C" w:rsidRPr="005A17A7">
              <w:rPr>
                <w:sz w:val="24"/>
                <w:szCs w:val="24"/>
              </w:rPr>
              <w:t>4</w:t>
            </w:r>
            <w:r w:rsidR="006A3771" w:rsidRPr="005A17A7">
              <w:rPr>
                <w:sz w:val="24"/>
                <w:szCs w:val="24"/>
              </w:rPr>
              <w:t xml:space="preserve">х поворотов и </w:t>
            </w:r>
            <w:r w:rsidR="00723F73" w:rsidRPr="005A17A7">
              <w:rPr>
                <w:sz w:val="24"/>
                <w:szCs w:val="24"/>
              </w:rPr>
              <w:t>4</w:t>
            </w:r>
            <w:r w:rsidR="006A3771" w:rsidRPr="005A17A7">
              <w:rPr>
                <w:sz w:val="24"/>
                <w:szCs w:val="24"/>
              </w:rPr>
              <w:t>х Т-образных элементов.</w:t>
            </w:r>
            <w:r w:rsidR="006A3771" w:rsidRPr="006A3771">
              <w:rPr>
                <w:sz w:val="24"/>
                <w:szCs w:val="24"/>
              </w:rPr>
              <w:t xml:space="preserve"> </w:t>
            </w:r>
          </w:p>
          <w:p w14:paraId="1ABC85B3" w14:textId="39D0B5EF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9A322D">
              <w:rPr>
                <w:sz w:val="24"/>
                <w:szCs w:val="24"/>
              </w:rPr>
              <w:t>2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9A322D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5F74B123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поворотные окончания и Т-образные элементы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602D4485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</w:t>
            </w:r>
            <w:r w:rsidRPr="005A17A7">
              <w:rPr>
                <w:sz w:val="24"/>
                <w:szCs w:val="24"/>
              </w:rPr>
              <w:t xml:space="preserve">ПНД, в количестве не менее </w:t>
            </w:r>
            <w:r w:rsidR="005A17A7" w:rsidRPr="005A17A7">
              <w:rPr>
                <w:sz w:val="24"/>
                <w:szCs w:val="24"/>
              </w:rPr>
              <w:t>8</w:t>
            </w:r>
            <w:r w:rsidRPr="005A17A7">
              <w:rPr>
                <w:sz w:val="24"/>
                <w:szCs w:val="24"/>
              </w:rPr>
              <w:t xml:space="preserve"> шт.</w:t>
            </w:r>
            <w:r w:rsidRPr="003730E8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1E52B5DB" w14:textId="11517368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>Для обеспечения надежной фиксации поручня, фланцы должны быть выполнены</w:t>
            </w:r>
            <w:r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из стали марки не ниже Ст08пс, толщиной не менее 3мм, диаметром не менее 67мм, в количестве </w:t>
            </w:r>
            <w:r w:rsidRPr="005A17A7">
              <w:rPr>
                <w:sz w:val="24"/>
                <w:szCs w:val="24"/>
              </w:rPr>
              <w:t xml:space="preserve">не менее </w:t>
            </w:r>
            <w:r w:rsidR="00DA670C" w:rsidRPr="005A17A7">
              <w:rPr>
                <w:sz w:val="24"/>
                <w:szCs w:val="24"/>
              </w:rPr>
              <w:t>6</w:t>
            </w:r>
            <w:r w:rsidRPr="005A17A7">
              <w:rPr>
                <w:sz w:val="24"/>
                <w:szCs w:val="24"/>
              </w:rPr>
              <w:t>шт и</w:t>
            </w:r>
            <w:r w:rsidRPr="003730E8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8F1FD9">
              <w:rPr>
                <w:sz w:val="24"/>
                <w:szCs w:val="24"/>
              </w:rPr>
              <w:t>мкм</w:t>
            </w:r>
            <w:r w:rsidRPr="003730E8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7885D756" w14:textId="4F201652" w:rsidR="002436AA" w:rsidRPr="000F6955" w:rsidRDefault="002436AA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50315855" w:rsidR="006A3771" w:rsidRDefault="006A3771" w:rsidP="000F6955">
            <w:pPr>
              <w:rPr>
                <w:sz w:val="24"/>
                <w:szCs w:val="24"/>
              </w:rPr>
            </w:pPr>
            <w:r w:rsidRPr="000B213F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менее </w:t>
            </w:r>
            <w:r w:rsidR="00FE3FDF" w:rsidRPr="000B213F">
              <w:rPr>
                <w:sz w:val="24"/>
                <w:szCs w:val="24"/>
              </w:rPr>
              <w:t>8</w:t>
            </w:r>
            <w:r w:rsidR="00DF59DF" w:rsidRPr="000B213F">
              <w:rPr>
                <w:sz w:val="24"/>
                <w:szCs w:val="24"/>
              </w:rPr>
              <w:t>50</w:t>
            </w:r>
            <w:r w:rsidRPr="000B213F">
              <w:rPr>
                <w:sz w:val="24"/>
                <w:szCs w:val="24"/>
              </w:rPr>
              <w:t xml:space="preserve"> мм по высоте, не менее </w:t>
            </w:r>
            <w:r w:rsidR="00DA670C" w:rsidRPr="000B213F">
              <w:rPr>
                <w:sz w:val="24"/>
                <w:szCs w:val="24"/>
              </w:rPr>
              <w:t>600</w:t>
            </w:r>
            <w:r w:rsidRPr="000B213F">
              <w:rPr>
                <w:sz w:val="24"/>
                <w:szCs w:val="24"/>
              </w:rPr>
              <w:t xml:space="preserve"> мм по ширине и не менее </w:t>
            </w:r>
            <w:r w:rsidR="00DA670C" w:rsidRPr="000B213F">
              <w:rPr>
                <w:sz w:val="24"/>
                <w:szCs w:val="24"/>
              </w:rPr>
              <w:t>700</w:t>
            </w:r>
            <w:r w:rsidRPr="000B213F">
              <w:rPr>
                <w:sz w:val="24"/>
                <w:szCs w:val="24"/>
              </w:rPr>
              <w:t xml:space="preserve"> мм по глубине</w:t>
            </w:r>
            <w:r w:rsidR="002F3DF1" w:rsidRPr="000B213F">
              <w:rPr>
                <w:sz w:val="24"/>
                <w:szCs w:val="24"/>
              </w:rPr>
              <w:t xml:space="preserve"> (без учета крепежных элементов)</w:t>
            </w:r>
            <w:r w:rsidRPr="000B21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459B2C71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>к</w:t>
            </w:r>
            <w:r w:rsidR="00723F73">
              <w:rPr>
                <w:sz w:val="24"/>
                <w:szCs w:val="24"/>
              </w:rPr>
              <w:t xml:space="preserve"> </w:t>
            </w:r>
            <w:r w:rsidR="00DA670C">
              <w:rPr>
                <w:sz w:val="24"/>
                <w:szCs w:val="24"/>
              </w:rPr>
              <w:t xml:space="preserve">стене и полу </w:t>
            </w:r>
            <w:r w:rsidRPr="001240F0">
              <w:rPr>
                <w:sz w:val="24"/>
                <w:szCs w:val="24"/>
              </w:rPr>
              <w:t>осуществляется посредство</w:t>
            </w:r>
            <w:r w:rsidR="00DA670C">
              <w:rPr>
                <w:sz w:val="24"/>
                <w:szCs w:val="24"/>
              </w:rPr>
              <w:t xml:space="preserve">м </w:t>
            </w:r>
            <w:r w:rsidRPr="001240F0">
              <w:rPr>
                <w:sz w:val="24"/>
                <w:szCs w:val="24"/>
              </w:rPr>
              <w:t xml:space="preserve">фланцев, </w:t>
            </w:r>
            <w:r w:rsidR="00B24733">
              <w:rPr>
                <w:sz w:val="24"/>
                <w:szCs w:val="24"/>
              </w:rPr>
              <w:t xml:space="preserve">в количестве </w:t>
            </w:r>
            <w:r w:rsidR="00DA670C">
              <w:rPr>
                <w:sz w:val="24"/>
                <w:szCs w:val="24"/>
              </w:rPr>
              <w:t>6ти</w:t>
            </w:r>
            <w:r w:rsidR="00B24733">
              <w:rPr>
                <w:sz w:val="24"/>
                <w:szCs w:val="24"/>
              </w:rPr>
              <w:t xml:space="preserve">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>-полимерным способом, с толщиной красящего слоя не менее 250</w:t>
            </w:r>
            <w:r w:rsidR="008F1FD9">
              <w:rPr>
                <w:sz w:val="24"/>
                <w:szCs w:val="24"/>
              </w:rPr>
              <w:t>мкм</w:t>
            </w:r>
            <w:r w:rsidR="00B24733" w:rsidRPr="00B24733">
              <w:rPr>
                <w:sz w:val="24"/>
                <w:szCs w:val="24"/>
              </w:rPr>
              <w:t xml:space="preserve">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 w:rsidR="000B213F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6A3771">
              <w:rPr>
                <w:sz w:val="24"/>
                <w:szCs w:val="24"/>
              </w:rPr>
              <w:t xml:space="preserve"> для дюбель гвоздей.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4C1EB5AE" w:rsidR="00121A87" w:rsidRDefault="000B213F" w:rsidP="003730E8">
      <w:pPr>
        <w:spacing w:line="240" w:lineRule="auto"/>
        <w:rPr>
          <w:bCs/>
          <w:sz w:val="24"/>
          <w:szCs w:val="24"/>
        </w:rPr>
      </w:pPr>
      <w:r w:rsidRPr="000B213F">
        <w:rPr>
          <w:bCs/>
          <w:sz w:val="24"/>
          <w:szCs w:val="24"/>
        </w:rPr>
        <w:t>Поручень опорный, двойной, настенно-напольный,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lastRenderedPageBreak/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83B69"/>
    <w:rsid w:val="000B213F"/>
    <w:rsid w:val="000D774F"/>
    <w:rsid w:val="000F6955"/>
    <w:rsid w:val="00121A87"/>
    <w:rsid w:val="001240F0"/>
    <w:rsid w:val="00127F3A"/>
    <w:rsid w:val="001352D4"/>
    <w:rsid w:val="001435CF"/>
    <w:rsid w:val="0015267B"/>
    <w:rsid w:val="00165981"/>
    <w:rsid w:val="001C6033"/>
    <w:rsid w:val="001C708F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5146C2"/>
    <w:rsid w:val="0058594F"/>
    <w:rsid w:val="00592BE9"/>
    <w:rsid w:val="005A17A7"/>
    <w:rsid w:val="005D4C4D"/>
    <w:rsid w:val="006250E5"/>
    <w:rsid w:val="0062680D"/>
    <w:rsid w:val="006443E9"/>
    <w:rsid w:val="006849AF"/>
    <w:rsid w:val="006A3771"/>
    <w:rsid w:val="006C4980"/>
    <w:rsid w:val="00703B9F"/>
    <w:rsid w:val="00723F73"/>
    <w:rsid w:val="00783E5D"/>
    <w:rsid w:val="007C33E0"/>
    <w:rsid w:val="00883B0B"/>
    <w:rsid w:val="00895343"/>
    <w:rsid w:val="008A6A26"/>
    <w:rsid w:val="008C1B48"/>
    <w:rsid w:val="008C3551"/>
    <w:rsid w:val="008F1FD9"/>
    <w:rsid w:val="009A322D"/>
    <w:rsid w:val="00A16E4F"/>
    <w:rsid w:val="00A2473F"/>
    <w:rsid w:val="00A62D64"/>
    <w:rsid w:val="00A83025"/>
    <w:rsid w:val="00A83D80"/>
    <w:rsid w:val="00A8739E"/>
    <w:rsid w:val="00AA5F94"/>
    <w:rsid w:val="00B24733"/>
    <w:rsid w:val="00B413E8"/>
    <w:rsid w:val="00B52051"/>
    <w:rsid w:val="00B54649"/>
    <w:rsid w:val="00C07E26"/>
    <w:rsid w:val="00C23A2F"/>
    <w:rsid w:val="00C41DE1"/>
    <w:rsid w:val="00C50716"/>
    <w:rsid w:val="00C77CEA"/>
    <w:rsid w:val="00C936C1"/>
    <w:rsid w:val="00CB21F4"/>
    <w:rsid w:val="00D11B5E"/>
    <w:rsid w:val="00D121A2"/>
    <w:rsid w:val="00D36C15"/>
    <w:rsid w:val="00D56A5B"/>
    <w:rsid w:val="00D67D5D"/>
    <w:rsid w:val="00D7498F"/>
    <w:rsid w:val="00DA670C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B3DB1"/>
    <w:rsid w:val="00F10B0D"/>
    <w:rsid w:val="00F1490E"/>
    <w:rsid w:val="00F443BA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6</cp:revision>
  <cp:lastPrinted>2017-08-04T09:07:00Z</cp:lastPrinted>
  <dcterms:created xsi:type="dcterms:W3CDTF">2021-11-03T06:28:00Z</dcterms:created>
  <dcterms:modified xsi:type="dcterms:W3CDTF">2022-12-29T11:58:00Z</dcterms:modified>
  <dc:language>ru-RU</dc:language>
</cp:coreProperties>
</file>