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A030" w14:textId="77777777" w:rsidR="00E03A48" w:rsidRDefault="00322D8E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 w14:paraId="75871A1D" w14:textId="511F9819" w:rsidR="00E03A48" w:rsidRDefault="00322D8E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>Арт. 87010</w:t>
      </w:r>
      <w:r w:rsidR="004660AB">
        <w:rPr>
          <w:sz w:val="24"/>
          <w:szCs w:val="24"/>
        </w:rPr>
        <w:t>-</w:t>
      </w:r>
      <w:r w:rsidR="000D2CE0">
        <w:rPr>
          <w:sz w:val="24"/>
          <w:szCs w:val="24"/>
        </w:rPr>
        <w:t>7</w:t>
      </w:r>
    </w:p>
    <w:p w14:paraId="5B01D214" w14:textId="77777777" w:rsidR="00E03A48" w:rsidRDefault="00E03A48">
      <w:pPr>
        <w:jc w:val="center"/>
        <w:rPr>
          <w:b/>
          <w:sz w:val="24"/>
          <w:szCs w:val="24"/>
        </w:rPr>
      </w:pPr>
    </w:p>
    <w:p w14:paraId="6FE539BB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14:paraId="42824362" w14:textId="77777777" w:rsidR="000D2CE0" w:rsidRDefault="000D2CE0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0D2CE0">
        <w:rPr>
          <w:rFonts w:cs="Calibri"/>
          <w:color w:val="000000"/>
          <w:sz w:val="24"/>
          <w:szCs w:val="24"/>
          <w:shd w:val="clear" w:color="auto" w:fill="FFFFFF"/>
        </w:rPr>
        <w:t>Поручень опорный прямой, пристенный, тип 9, нержавеющая сталь с ПВХ накладкой, D38 мм</w:t>
      </w:r>
    </w:p>
    <w:p w14:paraId="2ADDF70E" w14:textId="08871D78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14:paraId="205BA05D" w14:textId="77777777" w:rsidR="00E03A48" w:rsidRDefault="00322D8E">
      <w:pPr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 и территорий в целях обеспечения доступа людей с инвалидностью.</w:t>
      </w:r>
    </w:p>
    <w:p w14:paraId="7623E62D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7196"/>
      </w:tblGrid>
      <w:tr w:rsidR="00E03A48" w14:paraId="258C51C4" w14:textId="77777777" w:rsidTr="00602F2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236BF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1487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Изделие представляет собой комбинированный поручень, предназначенный для крепления на вертикальную поверхность, с целью обеспечения доступного и безопасного передвижения как внутри помещения, так и снаружи людей с нарушениями опорно-двигательного аппарата, а также слабовидящих и тотально слепых посетителей. Каркас поручня выполнен из высококачественной нержавеющей стали, покрытие-полимерный пластик с рифленой поверхностью.  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Поручень рекомендован для адаптации уличного пространства и неотапливаемых помещений, а также помещений с повышенной влажностью.</w:t>
            </w:r>
          </w:p>
          <w:p w14:paraId="048CB870" w14:textId="0FF6DE65" w:rsidR="00E03A48" w:rsidRDefault="00602F27">
            <w:pPr>
              <w:rPr>
                <w:sz w:val="24"/>
                <w:szCs w:val="24"/>
              </w:rPr>
            </w:pPr>
            <w:r w:rsidRPr="00602F27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E03A48" w14:paraId="7FD85AE1" w14:textId="77777777" w:rsidTr="00602F2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9A512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материалам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6759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 антивандальных свойств каркас поручня должен быть выполнен из нержавеющей стали марки не ниже AISI 304 (08Х18Н10).</w:t>
            </w:r>
          </w:p>
          <w:p w14:paraId="20BFA9EF" w14:textId="69707BB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з</w:t>
            </w:r>
            <w:r w:rsidRPr="00322D8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аявленных функциональных возможностей, а именно обеспечение низкой теплопроводности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покрытие должно быть выполнено из ПВХ, твёрдостью не менее 86 единиц по Шору по таблице D или 60 единиц по Бринелль,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E03A48" w14:paraId="7D5C4C17" w14:textId="77777777" w:rsidTr="00602F2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5B8E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2D21" w14:textId="0A3FD935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в соответствии с ГОСТ Р 51261-20</w:t>
            </w:r>
            <w:r w:rsidR="00602F27">
              <w:rPr>
                <w:rFonts w:eastAsia="Times New Roman" w:cs="Calibri"/>
                <w:sz w:val="24"/>
                <w:szCs w:val="24"/>
              </w:rPr>
              <w:t xml:space="preserve">22, </w:t>
            </w:r>
            <w:r>
              <w:rPr>
                <w:rFonts w:eastAsia="Times New Roman" w:cs="Calibri"/>
                <w:sz w:val="24"/>
                <w:szCs w:val="24"/>
              </w:rPr>
              <w:t xml:space="preserve">диаметром не менее 38 мм, с </w:t>
            </w:r>
            <w:r>
              <w:rPr>
                <w:rFonts w:eastAsia="Times New Roman" w:cs="Calibri"/>
                <w:sz w:val="24"/>
                <w:szCs w:val="24"/>
              </w:rPr>
              <w:lastRenderedPageBreak/>
              <w:t xml:space="preserve">толщиной стенки не менее 1,5 мм и пластиковой накладки толщиной не менее 3 мм, </w:t>
            </w:r>
            <w:r w:rsidR="00606D88" w:rsidRPr="00606D88">
              <w:rPr>
                <w:rFonts w:eastAsia="Times New Roman" w:cs="Calibri"/>
                <w:sz w:val="24"/>
                <w:szCs w:val="24"/>
              </w:rPr>
              <w:t>длиной</w:t>
            </w:r>
            <w:r w:rsidRPr="00606D88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0D2CE0">
              <w:rPr>
                <w:rFonts w:eastAsia="Times New Roman" w:cs="Calibri"/>
                <w:sz w:val="24"/>
                <w:szCs w:val="24"/>
              </w:rPr>
              <w:t>8</w:t>
            </w:r>
            <w:r w:rsidRPr="00606D88">
              <w:rPr>
                <w:rFonts w:eastAsia="Times New Roman" w:cs="Calibri"/>
                <w:sz w:val="24"/>
                <w:szCs w:val="24"/>
              </w:rPr>
              <w:t>04 мм.</w:t>
            </w:r>
          </w:p>
          <w:p w14:paraId="664FD844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  <w:p w14:paraId="1E675609" w14:textId="17907588" w:rsidR="00E03A48" w:rsidRPr="00602F27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съёмная. 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Для обеспечения возможности вставки тактильного указателя (наклейки) </w:t>
            </w:r>
            <w:r w:rsidR="00606D88" w:rsidRPr="007B5C1D">
              <w:rPr>
                <w:rFonts w:eastAsia="Times New Roman" w:cs="Calibri"/>
                <w:sz w:val="24"/>
                <w:szCs w:val="24"/>
              </w:rPr>
              <w:t xml:space="preserve">ПВХ 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накладка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должн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быть оборудован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специальным пазом </w:t>
            </w:r>
            <w:r w:rsidR="007A5F52" w:rsidRPr="007B5C1D">
              <w:rPr>
                <w:rFonts w:eastAsia="Times New Roman" w:cs="Calibri"/>
                <w:sz w:val="24"/>
                <w:szCs w:val="24"/>
              </w:rPr>
              <w:t xml:space="preserve">глубиной не менее 1мм, </w:t>
            </w:r>
            <w:r w:rsidR="00606D88" w:rsidRPr="007B5C1D">
              <w:rPr>
                <w:rFonts w:eastAsia="Times New Roman" w:cs="Calibri"/>
                <w:sz w:val="24"/>
                <w:szCs w:val="24"/>
              </w:rPr>
              <w:t>шириной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7A5F52" w:rsidRPr="007B5C1D">
              <w:rPr>
                <w:rFonts w:eastAsia="Times New Roman" w:cs="Calibri"/>
                <w:sz w:val="24"/>
                <w:szCs w:val="24"/>
              </w:rPr>
              <w:t>19,5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7B5C1D" w:rsidRPr="007B5C1D">
              <w:rPr>
                <w:rFonts w:eastAsia="Times New Roman" w:cs="Calibri"/>
                <w:sz w:val="24"/>
                <w:szCs w:val="24"/>
              </w:rPr>
              <w:t xml:space="preserve">длиной не менее </w:t>
            </w:r>
            <w:r w:rsidR="007B5C1D">
              <w:rPr>
                <w:rFonts w:eastAsia="Times New Roman" w:cs="Calibri"/>
                <w:sz w:val="24"/>
                <w:szCs w:val="24"/>
              </w:rPr>
              <w:t xml:space="preserve">   </w:t>
            </w:r>
            <w:r w:rsidR="000D2CE0">
              <w:rPr>
                <w:rFonts w:eastAsia="Times New Roman" w:cs="Calibri"/>
                <w:sz w:val="24"/>
                <w:szCs w:val="24"/>
              </w:rPr>
              <w:t>8</w:t>
            </w:r>
            <w:r w:rsidR="007B5C1D" w:rsidRPr="007B5C1D">
              <w:rPr>
                <w:rFonts w:eastAsia="Times New Roman" w:cs="Calibri"/>
                <w:sz w:val="24"/>
                <w:szCs w:val="24"/>
              </w:rPr>
              <w:t xml:space="preserve">04 </w:t>
            </w:r>
            <w:r w:rsidRPr="007B5C1D">
              <w:rPr>
                <w:rFonts w:eastAsia="Times New Roman" w:cs="Calibri"/>
                <w:sz w:val="24"/>
                <w:szCs w:val="24"/>
              </w:rPr>
              <w:t>мм.</w:t>
            </w:r>
          </w:p>
        </w:tc>
      </w:tr>
      <w:tr w:rsidR="00E03A48" w14:paraId="174207AE" w14:textId="77777777" w:rsidTr="00602F2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10BB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EB1DF" w14:textId="5F5FB291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ширина не менее </w:t>
            </w:r>
            <w:r w:rsidR="000D2CE0">
              <w:rPr>
                <w:rFonts w:eastAsia="Times New Roman" w:cs="Calibri"/>
                <w:sz w:val="24"/>
                <w:szCs w:val="24"/>
              </w:rPr>
              <w:t>10</w:t>
            </w:r>
            <w:r w:rsidR="007F79E5">
              <w:rPr>
                <w:rFonts w:eastAsia="Times New Roman" w:cs="Calibri"/>
                <w:sz w:val="24"/>
                <w:szCs w:val="24"/>
              </w:rPr>
              <w:t>00</w:t>
            </w:r>
            <w:r>
              <w:rPr>
                <w:rFonts w:eastAsia="Times New Roman" w:cs="Calibri"/>
                <w:sz w:val="24"/>
                <w:szCs w:val="24"/>
              </w:rPr>
              <w:t xml:space="preserve"> мм, глубина не менее 120 мм (без учета выступающих крепежных элементов). Доступный отступ от стены не менее 80 мм.</w:t>
            </w:r>
          </w:p>
          <w:p w14:paraId="2E2A8CFB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316F5246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общая длина поручня - не более 10 мм; диаметр трубы - не более 1 мм; прямолинейность элементов - не более 1 мм.</w:t>
            </w:r>
          </w:p>
          <w:p w14:paraId="16B42026" w14:textId="77777777" w:rsidR="00E03A48" w:rsidRDefault="00E03A48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03A48" w14:paraId="02799C80" w14:textId="77777777" w:rsidTr="00602F2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68B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Требования к цветовому исполнению накладки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16E7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 связи необходимостью обеспечения соответствия визуального облика изделия существующему корпоративному стилю заказчика покрытие из ПВХ должно быть выполнено в синем цвете.</w:t>
            </w:r>
          </w:p>
        </w:tc>
      </w:tr>
      <w:tr w:rsidR="00E03A48" w14:paraId="1690283A" w14:textId="77777777" w:rsidTr="00602F2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824A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15AB" w14:textId="2487F295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602F27">
              <w:rPr>
                <w:rFonts w:cs="Calibri"/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E03A48" w14:paraId="05C833DA" w14:textId="77777777" w:rsidTr="00602F2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EA26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8CAC" w14:textId="112E1DB4" w:rsidR="00E03A48" w:rsidRDefault="00322D8E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>
              <w:rPr>
                <w:rFonts w:cs="Calibri"/>
                <w:sz w:val="24"/>
                <w:szCs w:val="24"/>
                <w:lang w:val="en-US"/>
              </w:rPr>
              <w:t>AISI</w:t>
            </w:r>
            <w:r>
              <w:rPr>
                <w:rFonts w:cs="Calibri"/>
                <w:sz w:val="24"/>
                <w:szCs w:val="24"/>
              </w:rPr>
              <w:t xml:space="preserve"> 304 (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того, что поручни испытывают преимущественно консольную нагрузку толщина фланцев не менее 3 мм, диаметр не менее 80 мм. Каждый фланец должен иметь не менее 3х крепежных отверстий </w:t>
            </w:r>
            <w:r w:rsidR="0095561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дюбель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Приварку фланцев осуществлять с внутренней стороны трубы, не менее чем в 3х точках сварки, каждая из которых имеет длину не менее 10 мм. </w:t>
            </w:r>
          </w:p>
        </w:tc>
      </w:tr>
      <w:tr w:rsidR="00E03A48" w14:paraId="72EADD1F" w14:textId="77777777" w:rsidTr="00602F2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9D52F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4659C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E03A48" w14:paraId="6484C5F8" w14:textId="77777777" w:rsidTr="00602F2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1EB18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товарам/услугам/работам.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C2E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E03A48" w14:paraId="40DF091F" w14:textId="77777777" w:rsidTr="00602F2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B9695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A3A6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E03A48" w14:paraId="63D01A35" w14:textId="77777777" w:rsidTr="00602F2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DC0BB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90F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18A46FC" w14:textId="77777777" w:rsidR="00E03A48" w:rsidRDefault="00E03A48">
      <w:pPr>
        <w:rPr>
          <w:b/>
          <w:sz w:val="24"/>
          <w:szCs w:val="24"/>
        </w:rPr>
      </w:pPr>
    </w:p>
    <w:p w14:paraId="70D20251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Комплектация</w:t>
      </w:r>
    </w:p>
    <w:p w14:paraId="43AFD649" w14:textId="7BF35498" w:rsidR="00E03A48" w:rsidRDefault="00EE0EBA">
      <w:pPr>
        <w:rPr>
          <w:bCs/>
          <w:sz w:val="24"/>
          <w:szCs w:val="24"/>
        </w:rPr>
      </w:pPr>
      <w:r w:rsidRPr="00EE0EBA">
        <w:rPr>
          <w:bCs/>
          <w:sz w:val="24"/>
          <w:szCs w:val="24"/>
        </w:rPr>
        <w:t>Поручень опорный прямой, пристенный, тип 9, нержавеющая сталь с ПВХ накладкой, D38 мм</w:t>
      </w:r>
      <w:r>
        <w:rPr>
          <w:bCs/>
          <w:sz w:val="24"/>
          <w:szCs w:val="24"/>
        </w:rPr>
        <w:t xml:space="preserve"> </w:t>
      </w:r>
      <w:r w:rsidR="00322D8E">
        <w:rPr>
          <w:bCs/>
          <w:sz w:val="24"/>
          <w:szCs w:val="24"/>
        </w:rPr>
        <w:t>– 1шт.</w:t>
      </w:r>
    </w:p>
    <w:p w14:paraId="4BBC87E9" w14:textId="77777777" w:rsidR="00E03A48" w:rsidRDefault="00322D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1шт.</w:t>
      </w:r>
    </w:p>
    <w:p w14:paraId="1AB6C3DF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Сроки</w:t>
      </w:r>
    </w:p>
    <w:p w14:paraId="70850DC3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3B6DE42E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Гарантия качества</w:t>
      </w:r>
    </w:p>
    <w:p w14:paraId="01D799BF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p w14:paraId="4731F07B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14:paraId="61E36C16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6CB66AD2" w14:textId="77777777" w:rsidR="00E03A48" w:rsidRDefault="00E03A48">
      <w:pPr>
        <w:rPr>
          <w:sz w:val="24"/>
          <w:szCs w:val="24"/>
        </w:rPr>
      </w:pPr>
    </w:p>
    <w:sectPr w:rsidR="00E03A48">
      <w:footerReference w:type="default" r:id="rId8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B2F6" w14:textId="77777777" w:rsidR="00E03A48" w:rsidRDefault="00322D8E">
      <w:pPr>
        <w:spacing w:line="240" w:lineRule="auto"/>
      </w:pPr>
      <w:r>
        <w:separator/>
      </w:r>
    </w:p>
  </w:endnote>
  <w:endnote w:type="continuationSeparator" w:id="0">
    <w:p w14:paraId="5C6F4435" w14:textId="77777777" w:rsidR="00E03A48" w:rsidRDefault="00322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AutoText"/>
      </w:docPartObj>
    </w:sdtPr>
    <w:sdtEndPr/>
    <w:sdtContent>
      <w:p w14:paraId="2DD014CB" w14:textId="77777777" w:rsidR="00E03A48" w:rsidRDefault="00322D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A74AF" w14:textId="77777777" w:rsidR="00E03A48" w:rsidRDefault="00E03A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153E" w14:textId="77777777" w:rsidR="00E03A48" w:rsidRDefault="00322D8E">
      <w:pPr>
        <w:spacing w:after="0" w:line="240" w:lineRule="auto"/>
      </w:pPr>
      <w:r>
        <w:separator/>
      </w:r>
    </w:p>
  </w:footnote>
  <w:footnote w:type="continuationSeparator" w:id="0">
    <w:p w14:paraId="380AEA27" w14:textId="77777777" w:rsidR="00E03A48" w:rsidRDefault="00322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D2CE0"/>
    <w:rsid w:val="000F320B"/>
    <w:rsid w:val="001203BC"/>
    <w:rsid w:val="001F40E0"/>
    <w:rsid w:val="00232A18"/>
    <w:rsid w:val="002A2321"/>
    <w:rsid w:val="002C614C"/>
    <w:rsid w:val="002D7B65"/>
    <w:rsid w:val="00322D8E"/>
    <w:rsid w:val="00366495"/>
    <w:rsid w:val="003D0CA6"/>
    <w:rsid w:val="003E2B83"/>
    <w:rsid w:val="00424038"/>
    <w:rsid w:val="00452901"/>
    <w:rsid w:val="004660AB"/>
    <w:rsid w:val="005022CD"/>
    <w:rsid w:val="005160CA"/>
    <w:rsid w:val="00525B6A"/>
    <w:rsid w:val="005551E3"/>
    <w:rsid w:val="00586793"/>
    <w:rsid w:val="005E71F4"/>
    <w:rsid w:val="00602F27"/>
    <w:rsid w:val="00606D88"/>
    <w:rsid w:val="006F524C"/>
    <w:rsid w:val="007463B6"/>
    <w:rsid w:val="00764759"/>
    <w:rsid w:val="007A5F52"/>
    <w:rsid w:val="007B5C1D"/>
    <w:rsid w:val="007E5E7C"/>
    <w:rsid w:val="007F79E5"/>
    <w:rsid w:val="00804825"/>
    <w:rsid w:val="008117FA"/>
    <w:rsid w:val="00816C1A"/>
    <w:rsid w:val="00837BEF"/>
    <w:rsid w:val="00883E8A"/>
    <w:rsid w:val="009541F6"/>
    <w:rsid w:val="00955615"/>
    <w:rsid w:val="009723EB"/>
    <w:rsid w:val="00972D15"/>
    <w:rsid w:val="00975268"/>
    <w:rsid w:val="009753F5"/>
    <w:rsid w:val="009913D5"/>
    <w:rsid w:val="0099176E"/>
    <w:rsid w:val="009C1B59"/>
    <w:rsid w:val="009F7B0B"/>
    <w:rsid w:val="00A12F3D"/>
    <w:rsid w:val="00A14C93"/>
    <w:rsid w:val="00AE69FF"/>
    <w:rsid w:val="00B47B4D"/>
    <w:rsid w:val="00BD40CC"/>
    <w:rsid w:val="00C06D15"/>
    <w:rsid w:val="00C6307E"/>
    <w:rsid w:val="00CD18AB"/>
    <w:rsid w:val="00D0399E"/>
    <w:rsid w:val="00D328E3"/>
    <w:rsid w:val="00D46EC9"/>
    <w:rsid w:val="00D474AF"/>
    <w:rsid w:val="00D54A0C"/>
    <w:rsid w:val="00D642C6"/>
    <w:rsid w:val="00E03A48"/>
    <w:rsid w:val="00E1077B"/>
    <w:rsid w:val="00E453F3"/>
    <w:rsid w:val="00EE0EBA"/>
    <w:rsid w:val="00F049C3"/>
    <w:rsid w:val="00F66BBC"/>
    <w:rsid w:val="00FC0EE5"/>
    <w:rsid w:val="1F7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4929"/>
  <w15:docId w15:val="{AA0D8453-D352-4F87-8447-58CBFCE4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annotation text"/>
    <w:basedOn w:val="a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pPr>
      <w:spacing w:after="140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8"/>
    <w:qFormat/>
    <w:rPr>
      <w:rFonts w:cs="Lohit Devanagari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No Spacing"/>
    <w:qFormat/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Times New Roman" w:hAnsi="Calibri" w:cs="Times New Roman"/>
      <w:sz w:val="22"/>
      <w:szCs w:val="22"/>
      <w:lang w:bidi="ar-SA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4522B-2F50-4D37-9005-F8EB842EF6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Черепнов</dc:creator>
  <cp:lastModifiedBy>Александр Черепнов</cp:lastModifiedBy>
  <cp:revision>5</cp:revision>
  <cp:lastPrinted>2017-07-21T17:37:00Z</cp:lastPrinted>
  <dcterms:created xsi:type="dcterms:W3CDTF">2021-07-28T13:01:00Z</dcterms:created>
  <dcterms:modified xsi:type="dcterms:W3CDTF">2022-12-26T06:00:00Z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