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51332B27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  <w:r w:rsidR="004660AB">
        <w:rPr>
          <w:sz w:val="24"/>
          <w:szCs w:val="24"/>
        </w:rPr>
        <w:t>-</w:t>
      </w:r>
      <w:r w:rsidR="00CF49C4">
        <w:rPr>
          <w:sz w:val="24"/>
          <w:szCs w:val="24"/>
        </w:rPr>
        <w:t>3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BAC05AC" w14:textId="77777777" w:rsidR="00CF49C4" w:rsidRDefault="00CF49C4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F49C4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4, нержавеющая сталь с ПВХ накладкой, D38 мм</w:t>
      </w:r>
    </w:p>
    <w:p w14:paraId="2ADDF70E" w14:textId="4AB84E98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337"/>
      </w:tblGrid>
      <w:tr w:rsidR="00E03A48" w14:paraId="258C51C4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08A1355D" w:rsidR="00E03A48" w:rsidRDefault="00700F6A">
            <w:pPr>
              <w:rPr>
                <w:sz w:val="24"/>
                <w:szCs w:val="24"/>
              </w:rPr>
            </w:pPr>
            <w:r w:rsidRPr="00700F6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4CE43643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700F6A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 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0010C0">
              <w:rPr>
                <w:rFonts w:eastAsia="Times New Roman" w:cs="Calibri"/>
                <w:sz w:val="24"/>
                <w:szCs w:val="24"/>
              </w:rPr>
              <w:t>10</w:t>
            </w:r>
            <w:r w:rsidRPr="00606D88">
              <w:rPr>
                <w:rFonts w:eastAsia="Times New Roman" w:cs="Calibri"/>
                <w:sz w:val="24"/>
                <w:szCs w:val="24"/>
              </w:rPr>
              <w:t>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05E5FD2F" w:rsidR="00E03A48" w:rsidRPr="00700F6A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</w:t>
            </w:r>
            <w:r w:rsidR="00F1644A">
              <w:rPr>
                <w:rFonts w:eastAsia="Times New Roman" w:cs="Calibri"/>
                <w:sz w:val="24"/>
                <w:szCs w:val="24"/>
              </w:rPr>
              <w:t>1004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3A0BB540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CF49C4" w:rsidRPr="00CF49C4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CF49C4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CF49C4">
              <w:rPr>
                <w:rFonts w:eastAsia="Times New Roman" w:cs="Calibri"/>
                <w:sz w:val="24"/>
                <w:szCs w:val="24"/>
              </w:rPr>
              <w:t>12</w:t>
            </w:r>
            <w:r>
              <w:rPr>
                <w:rFonts w:eastAsia="Times New Roman" w:cs="Calibri"/>
                <w:sz w:val="24"/>
                <w:szCs w:val="24"/>
              </w:rPr>
              <w:t>00 мм,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37EA3446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700F6A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700F6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37B3A930" w:rsidR="00E03A48" w:rsidRDefault="00CF49C4">
      <w:pPr>
        <w:rPr>
          <w:bCs/>
          <w:sz w:val="24"/>
          <w:szCs w:val="24"/>
        </w:rPr>
      </w:pPr>
      <w:r w:rsidRPr="00CF49C4">
        <w:rPr>
          <w:bCs/>
          <w:sz w:val="24"/>
          <w:szCs w:val="24"/>
        </w:rPr>
        <w:t>Поручень опорный прямой, пристенный, тип 4,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010C0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4660AB"/>
    <w:rsid w:val="005022CD"/>
    <w:rsid w:val="005160CA"/>
    <w:rsid w:val="00525B6A"/>
    <w:rsid w:val="005551E3"/>
    <w:rsid w:val="00586793"/>
    <w:rsid w:val="005E71F4"/>
    <w:rsid w:val="00606D88"/>
    <w:rsid w:val="006F524C"/>
    <w:rsid w:val="00700F6A"/>
    <w:rsid w:val="007463B6"/>
    <w:rsid w:val="00764759"/>
    <w:rsid w:val="007A5F52"/>
    <w:rsid w:val="007B5C1D"/>
    <w:rsid w:val="007E5E7C"/>
    <w:rsid w:val="00804825"/>
    <w:rsid w:val="008117FA"/>
    <w:rsid w:val="00816C1A"/>
    <w:rsid w:val="00837BEF"/>
    <w:rsid w:val="00883E8A"/>
    <w:rsid w:val="009541F6"/>
    <w:rsid w:val="00955615"/>
    <w:rsid w:val="009723EB"/>
    <w:rsid w:val="00972D15"/>
    <w:rsid w:val="00975268"/>
    <w:rsid w:val="009753F5"/>
    <w:rsid w:val="009913D5"/>
    <w:rsid w:val="0099176E"/>
    <w:rsid w:val="009C1B59"/>
    <w:rsid w:val="009F7B0B"/>
    <w:rsid w:val="00A12F3D"/>
    <w:rsid w:val="00AE69FF"/>
    <w:rsid w:val="00BD40CC"/>
    <w:rsid w:val="00C06D15"/>
    <w:rsid w:val="00CD18AB"/>
    <w:rsid w:val="00CF49C4"/>
    <w:rsid w:val="00D0399E"/>
    <w:rsid w:val="00D328E3"/>
    <w:rsid w:val="00D46EC9"/>
    <w:rsid w:val="00D474AF"/>
    <w:rsid w:val="00D642C6"/>
    <w:rsid w:val="00E03A48"/>
    <w:rsid w:val="00E453F3"/>
    <w:rsid w:val="00F049C3"/>
    <w:rsid w:val="00F1644A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522B-2F50-4D37-9005-F8EB842E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6</cp:revision>
  <cp:lastPrinted>2017-07-21T17:37:00Z</cp:lastPrinted>
  <dcterms:created xsi:type="dcterms:W3CDTF">2021-07-28T12:47:00Z</dcterms:created>
  <dcterms:modified xsi:type="dcterms:W3CDTF">2022-12-26T05:54:00Z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