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E53" w14:textId="77777777" w:rsidR="002E2FAF" w:rsidRDefault="002E2FAF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0A3E621E" w:rsidR="00ED6DE4" w:rsidRPr="002902CB" w:rsidRDefault="00ED6DE4" w:rsidP="00CE54D2">
      <w:pPr>
        <w:pStyle w:val="a3"/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6106C128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2A1062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</w:t>
      </w:r>
      <w:r w:rsidR="00A11B2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5B73AF0E" w14:textId="77777777" w:rsidR="00CE54D2" w:rsidRDefault="00CE54D2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CE54D2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писсуара, с двойным креплением к стене, сталь, D38 мм</w:t>
      </w:r>
    </w:p>
    <w:p w14:paraId="38D639EF" w14:textId="101A491E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425F83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7E36DBD8" w14:textId="105C4955" w:rsidR="00DB5445" w:rsidRPr="00DB5445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Изделие представляет собой </w:t>
            </w:r>
            <w:r w:rsidR="00A26837" w:rsidRPr="00DB5445">
              <w:rPr>
                <w:rFonts w:cs="Calibri"/>
                <w:sz w:val="24"/>
                <w:szCs w:val="24"/>
              </w:rPr>
              <w:t>эргономичное опорное устройство,</w:t>
            </w:r>
            <w:r w:rsidR="00A26837">
              <w:t xml:space="preserve"> </w:t>
            </w:r>
            <w:r w:rsidR="00A26837" w:rsidRPr="00A26837">
              <w:rPr>
                <w:rFonts w:cs="Calibri"/>
                <w:sz w:val="24"/>
                <w:szCs w:val="24"/>
              </w:rPr>
              <w:t>предназначенное для установки над писсуаром</w:t>
            </w:r>
            <w:r w:rsidR="002A1062">
              <w:rPr>
                <w:rFonts w:cs="Calibri"/>
                <w:sz w:val="24"/>
                <w:szCs w:val="24"/>
              </w:rPr>
              <w:t xml:space="preserve">. </w:t>
            </w:r>
            <w:r w:rsidR="0046446A">
              <w:rPr>
                <w:rFonts w:cs="Calibri"/>
                <w:sz w:val="24"/>
                <w:szCs w:val="24"/>
              </w:rPr>
              <w:t>Монтаж</w:t>
            </w:r>
            <w:r w:rsidR="00101DE3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осуществляется креплени</w:t>
            </w:r>
            <w:r w:rsidR="0041699D">
              <w:rPr>
                <w:rFonts w:cs="Calibri"/>
                <w:sz w:val="24"/>
                <w:szCs w:val="24"/>
              </w:rPr>
              <w:t>ем</w:t>
            </w:r>
            <w:r w:rsidR="00A55038">
              <w:rPr>
                <w:rFonts w:cs="Calibri"/>
                <w:sz w:val="24"/>
                <w:szCs w:val="24"/>
              </w:rPr>
              <w:t xml:space="preserve"> к стене по средством 4</w:t>
            </w:r>
            <w:r w:rsidR="00425F83">
              <w:rPr>
                <w:rFonts w:cs="Calibri"/>
                <w:sz w:val="24"/>
                <w:szCs w:val="24"/>
              </w:rPr>
              <w:t>-</w:t>
            </w:r>
            <w:r w:rsidR="00A55038">
              <w:rPr>
                <w:rFonts w:cs="Calibri"/>
                <w:sz w:val="24"/>
                <w:szCs w:val="24"/>
              </w:rPr>
              <w:t>х опор.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737629ED" w:rsidR="00CD5008" w:rsidRPr="002902CB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425F83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="00425F83" w:rsidRPr="00425F83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425F83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17336123" w:rsidR="00DA59C3" w:rsidRPr="002902CB" w:rsidRDefault="002A1062" w:rsidP="002902CB">
            <w:pPr>
              <w:rPr>
                <w:rFonts w:cs="Calibri"/>
                <w:sz w:val="24"/>
                <w:szCs w:val="24"/>
              </w:rPr>
            </w:pPr>
            <w:r w:rsidRPr="002A1062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425F83">
              <w:rPr>
                <w:sz w:val="24"/>
                <w:szCs w:val="24"/>
              </w:rPr>
              <w:t xml:space="preserve"> </w:t>
            </w:r>
            <w:r w:rsidR="00CE54D2">
              <w:rPr>
                <w:sz w:val="24"/>
                <w:szCs w:val="24"/>
              </w:rPr>
              <w:t>мкм</w:t>
            </w:r>
            <w:r w:rsidRPr="002A1062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425F83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31D2B546" w14:textId="0AAD19E0" w:rsidR="00CD5008" w:rsidRPr="00511297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="00345F4D" w:rsidRPr="00511297">
              <w:rPr>
                <w:sz w:val="24"/>
                <w:szCs w:val="24"/>
              </w:rPr>
              <w:t>Поручень представляет собой цельносварную конструкцию</w:t>
            </w:r>
            <w:r w:rsidR="0041699D">
              <w:rPr>
                <w:sz w:val="24"/>
                <w:szCs w:val="24"/>
              </w:rPr>
              <w:t xml:space="preserve">, состоящую из двух </w:t>
            </w:r>
            <w:r w:rsidR="00CE1E06">
              <w:rPr>
                <w:sz w:val="24"/>
                <w:szCs w:val="24"/>
              </w:rPr>
              <w:t>парных</w:t>
            </w:r>
            <w:r w:rsidR="0041699D">
              <w:rPr>
                <w:sz w:val="24"/>
                <w:szCs w:val="24"/>
              </w:rPr>
              <w:t xml:space="preserve"> поручней, объединённых соединительным поручнем.</w:t>
            </w:r>
            <w:r w:rsidR="00345F4D" w:rsidRPr="00511297">
              <w:rPr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должен быть изготовлен из трубы диаметром не менее 37 мм и не более </w:t>
            </w:r>
            <w:r w:rsidR="00FA55F1">
              <w:rPr>
                <w:rFonts w:cs="Calibri"/>
                <w:sz w:val="24"/>
                <w:szCs w:val="24"/>
              </w:rPr>
              <w:t xml:space="preserve">             </w:t>
            </w:r>
            <w:r w:rsidRPr="00511297">
              <w:rPr>
                <w:rFonts w:cs="Calibri"/>
                <w:sz w:val="24"/>
                <w:szCs w:val="24"/>
              </w:rPr>
              <w:t>4</w:t>
            </w:r>
            <w:r w:rsidR="002A1062">
              <w:rPr>
                <w:rFonts w:cs="Calibri"/>
                <w:sz w:val="24"/>
                <w:szCs w:val="24"/>
              </w:rPr>
              <w:t>0</w:t>
            </w:r>
            <w:r w:rsidR="00425F83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11297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Pr="00511297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Pr="00511297">
              <w:rPr>
                <w:rFonts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 w:rsidR="00425F83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>мм.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425F83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1E13491B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A11B25">
              <w:rPr>
                <w:sz w:val="24"/>
                <w:szCs w:val="24"/>
              </w:rPr>
              <w:t>340</w:t>
            </w:r>
            <w:r w:rsidR="00425F83">
              <w:rPr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A11B25">
              <w:rPr>
                <w:rFonts w:cs="Calibri"/>
                <w:sz w:val="24"/>
                <w:szCs w:val="24"/>
              </w:rPr>
              <w:t>580</w:t>
            </w:r>
            <w:r w:rsidR="00425F83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345F4D">
              <w:rPr>
                <w:rFonts w:cs="Calibri"/>
                <w:sz w:val="24"/>
                <w:szCs w:val="24"/>
              </w:rPr>
              <w:t>5</w:t>
            </w:r>
            <w:r w:rsidR="00A11B25">
              <w:rPr>
                <w:rFonts w:cs="Calibri"/>
                <w:sz w:val="24"/>
                <w:szCs w:val="24"/>
              </w:rPr>
              <w:t>6</w:t>
            </w:r>
            <w:r w:rsidR="00345F4D">
              <w:rPr>
                <w:rFonts w:cs="Calibri"/>
                <w:sz w:val="24"/>
                <w:szCs w:val="24"/>
              </w:rPr>
              <w:t>0</w:t>
            </w:r>
            <w:r w:rsidR="00425F83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2A1062" w:rsidRPr="002902CB" w14:paraId="5301BDD5" w14:textId="77777777" w:rsidTr="00425F83">
        <w:tc>
          <w:tcPr>
            <w:tcW w:w="2982" w:type="dxa"/>
            <w:shd w:val="clear" w:color="auto" w:fill="auto"/>
          </w:tcPr>
          <w:p w14:paraId="74259B80" w14:textId="144675F4" w:rsidR="002A1062" w:rsidRPr="002A1062" w:rsidRDefault="002A1062" w:rsidP="002A1062">
            <w:pPr>
              <w:rPr>
                <w:sz w:val="24"/>
                <w:szCs w:val="24"/>
              </w:rPr>
            </w:pPr>
            <w:r w:rsidRPr="002A1062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936" w:type="dxa"/>
            <w:shd w:val="clear" w:color="auto" w:fill="auto"/>
          </w:tcPr>
          <w:p w14:paraId="61CB6580" w14:textId="3F75FCFF" w:rsidR="002A1062" w:rsidRPr="002A1062" w:rsidRDefault="002A1062" w:rsidP="002A1062">
            <w:pPr>
              <w:rPr>
                <w:rFonts w:cs="Calibri"/>
                <w:sz w:val="24"/>
                <w:szCs w:val="24"/>
              </w:rPr>
            </w:pPr>
            <w:r w:rsidRPr="002A1062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425F83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2C77A88A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644CC">
              <w:rPr>
                <w:rFonts w:cs="Calibri"/>
                <w:sz w:val="24"/>
                <w:szCs w:val="24"/>
              </w:rPr>
              <w:t>стене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стали</w:t>
            </w:r>
            <w:r w:rsidR="002A1062">
              <w:rPr>
                <w:rFonts w:cs="Calibri"/>
                <w:sz w:val="24"/>
                <w:szCs w:val="24"/>
              </w:rPr>
              <w:t xml:space="preserve"> </w:t>
            </w:r>
            <w:r w:rsidR="00431E24">
              <w:rPr>
                <w:rFonts w:cs="Calibri"/>
                <w:sz w:val="24"/>
                <w:szCs w:val="24"/>
              </w:rPr>
              <w:t xml:space="preserve">марки </w:t>
            </w:r>
            <w:r w:rsidR="00431E24" w:rsidRPr="002902CB">
              <w:rPr>
                <w:rFonts w:cs="Calibri"/>
                <w:sz w:val="24"/>
                <w:szCs w:val="24"/>
              </w:rPr>
              <w:t>не</w:t>
            </w:r>
            <w:r w:rsidRPr="002902CB">
              <w:rPr>
                <w:rFonts w:cs="Calibri"/>
                <w:sz w:val="24"/>
                <w:szCs w:val="24"/>
              </w:rPr>
              <w:t xml:space="preserve"> ниже </w:t>
            </w:r>
            <w:r w:rsidR="002A1062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425F83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0589912D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425F83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425F83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3B883BFE" w:rsidR="00CD5008" w:rsidRPr="002902CB" w:rsidRDefault="002A1062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A1062" w:rsidRPr="002902CB" w14:paraId="22F95854" w14:textId="77777777" w:rsidTr="00425F83">
        <w:tc>
          <w:tcPr>
            <w:tcW w:w="2982" w:type="dxa"/>
            <w:shd w:val="clear" w:color="auto" w:fill="auto"/>
          </w:tcPr>
          <w:p w14:paraId="7AAE2B23" w14:textId="24B5E829" w:rsidR="002A1062" w:rsidRPr="002A1062" w:rsidRDefault="002A1062" w:rsidP="002A1062">
            <w:pPr>
              <w:rPr>
                <w:sz w:val="24"/>
                <w:szCs w:val="24"/>
              </w:rPr>
            </w:pPr>
            <w:r w:rsidRPr="002A1062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36" w:type="dxa"/>
            <w:shd w:val="clear" w:color="auto" w:fill="auto"/>
          </w:tcPr>
          <w:p w14:paraId="06B9DA53" w14:textId="719827EF" w:rsidR="002A1062" w:rsidRPr="002A1062" w:rsidRDefault="002A1062" w:rsidP="002A1062">
            <w:pPr>
              <w:rPr>
                <w:rFonts w:cs="Calibri"/>
                <w:sz w:val="24"/>
                <w:szCs w:val="24"/>
              </w:rPr>
            </w:pPr>
            <w:r w:rsidRPr="002A1062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425F83">
        <w:tc>
          <w:tcPr>
            <w:tcW w:w="2982" w:type="dxa"/>
            <w:shd w:val="clear" w:color="auto" w:fill="auto"/>
          </w:tcPr>
          <w:p w14:paraId="4486AF03" w14:textId="5C2FF4E3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425F83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4522B8E7" w:rsidR="00CD5008" w:rsidRPr="002902CB" w:rsidRDefault="002A1062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425F83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11F6259" w14:textId="77777777" w:rsidR="00431E24" w:rsidRDefault="00431E24" w:rsidP="002902CB">
      <w:pPr>
        <w:rPr>
          <w:b/>
          <w:sz w:val="24"/>
          <w:szCs w:val="24"/>
        </w:rPr>
      </w:pPr>
    </w:p>
    <w:p w14:paraId="26AFB4D0" w14:textId="1DAB566D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86C09BD" w:rsidR="002902CB" w:rsidRPr="008504AD" w:rsidRDefault="00CE54D2" w:rsidP="002902CB">
      <w:pPr>
        <w:rPr>
          <w:sz w:val="24"/>
          <w:szCs w:val="24"/>
        </w:rPr>
      </w:pPr>
      <w:r w:rsidRPr="00CE54D2">
        <w:rPr>
          <w:sz w:val="24"/>
          <w:szCs w:val="24"/>
        </w:rPr>
        <w:t>Поручень опорный для писсуара, с двойным креплением к стене, сталь, D38 мм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1E24">
      <w:pgSz w:w="11906" w:h="16838"/>
      <w:pgMar w:top="34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01DE3"/>
    <w:rsid w:val="00150466"/>
    <w:rsid w:val="001644CC"/>
    <w:rsid w:val="001B57A9"/>
    <w:rsid w:val="00247D13"/>
    <w:rsid w:val="002902CB"/>
    <w:rsid w:val="002A1062"/>
    <w:rsid w:val="002E2FAF"/>
    <w:rsid w:val="00345F4D"/>
    <w:rsid w:val="003B3E71"/>
    <w:rsid w:val="003F74DC"/>
    <w:rsid w:val="00405ED5"/>
    <w:rsid w:val="0041699D"/>
    <w:rsid w:val="00420AEE"/>
    <w:rsid w:val="00425F83"/>
    <w:rsid w:val="00431E24"/>
    <w:rsid w:val="00434FD9"/>
    <w:rsid w:val="0046446A"/>
    <w:rsid w:val="004C0191"/>
    <w:rsid w:val="00511297"/>
    <w:rsid w:val="005156B0"/>
    <w:rsid w:val="00560C86"/>
    <w:rsid w:val="0056116C"/>
    <w:rsid w:val="005C6880"/>
    <w:rsid w:val="00753109"/>
    <w:rsid w:val="00755F02"/>
    <w:rsid w:val="007935F8"/>
    <w:rsid w:val="007C12AE"/>
    <w:rsid w:val="00832E68"/>
    <w:rsid w:val="00887E59"/>
    <w:rsid w:val="008A1566"/>
    <w:rsid w:val="008A72AA"/>
    <w:rsid w:val="008F6632"/>
    <w:rsid w:val="0091572F"/>
    <w:rsid w:val="00951B76"/>
    <w:rsid w:val="00962CB5"/>
    <w:rsid w:val="0096395C"/>
    <w:rsid w:val="009A3F89"/>
    <w:rsid w:val="00A11B25"/>
    <w:rsid w:val="00A26837"/>
    <w:rsid w:val="00A50BF2"/>
    <w:rsid w:val="00A55038"/>
    <w:rsid w:val="00A65ACB"/>
    <w:rsid w:val="00B11BCE"/>
    <w:rsid w:val="00BE1C35"/>
    <w:rsid w:val="00CD5008"/>
    <w:rsid w:val="00CE1E06"/>
    <w:rsid w:val="00CE54D2"/>
    <w:rsid w:val="00DA59C3"/>
    <w:rsid w:val="00DB5445"/>
    <w:rsid w:val="00DF4ECC"/>
    <w:rsid w:val="00E54564"/>
    <w:rsid w:val="00E87478"/>
    <w:rsid w:val="00E87723"/>
    <w:rsid w:val="00ED6DE4"/>
    <w:rsid w:val="00F33B50"/>
    <w:rsid w:val="00F647CE"/>
    <w:rsid w:val="00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2021-05-24T07:20:00Z</dcterms:created>
  <dcterms:modified xsi:type="dcterms:W3CDTF">2023-01-09T13:24:00Z</dcterms:modified>
</cp:coreProperties>
</file>