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82424" w:rsidRPr="00882424">
        <w:rPr>
          <w:rFonts w:ascii="Times New Roman" w:hAnsi="Times New Roman"/>
          <w:sz w:val="28"/>
          <w:szCs w:val="24"/>
        </w:rPr>
        <w:t>902-0-NGB-G3-ZH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82424" w:rsidRPr="00882424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«Обособленный туалет для одного посетителя», ГОСТ-2019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882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(</w:t>
            </w:r>
            <w:r w:rsidR="00882424">
              <w:rPr>
                <w:rFonts w:ascii="Times New Roman" w:hAnsi="Times New Roman"/>
                <w:sz w:val="24"/>
                <w:szCs w:val="24"/>
              </w:rPr>
              <w:t>о</w:t>
            </w:r>
            <w:r w:rsidR="00882424" w:rsidRPr="00882424">
              <w:rPr>
                <w:rFonts w:ascii="Times New Roman" w:hAnsi="Times New Roman"/>
                <w:sz w:val="24"/>
                <w:szCs w:val="24"/>
              </w:rPr>
              <w:t>бособленный туалет для одного посетителя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EC4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2424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C4791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1811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4031-E22C-4CFC-8817-476B57A2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2020-08-03T10:30:00Z</dcterms:created>
  <dcterms:modified xsi:type="dcterms:W3CDTF">2020-08-03T10:30:00Z</dcterms:modified>
</cp:coreProperties>
</file>